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874BF" w14:textId="77777777" w:rsidR="00D70290" w:rsidRPr="00DE3C38" w:rsidRDefault="007528CD" w:rsidP="005770C9">
      <w:pPr>
        <w:ind w:right="-54"/>
        <w:rPr>
          <w:rFonts w:ascii="Times New Roman" w:hAnsi="Times New Roman"/>
          <w:sz w:val="22"/>
          <w:szCs w:val="28"/>
        </w:rPr>
      </w:pPr>
      <w:r>
        <w:rPr>
          <w:rFonts w:ascii="Times New Roman" w:hAnsi="Times New Roman"/>
          <w:noProof/>
          <w:sz w:val="22"/>
          <w:szCs w:val="28"/>
          <w:lang w:eastAsia="ja-JP"/>
        </w:rPr>
        <mc:AlternateContent>
          <mc:Choice Requires="wps">
            <w:drawing>
              <wp:anchor distT="0" distB="0" distL="114300" distR="114300" simplePos="0" relativeHeight="251660288" behindDoc="1" locked="0" layoutInCell="1" allowOverlap="1" wp14:anchorId="379E992D" wp14:editId="5A672FF5">
                <wp:simplePos x="0" y="0"/>
                <wp:positionH relativeFrom="column">
                  <wp:posOffset>-1528</wp:posOffset>
                </wp:positionH>
                <wp:positionV relativeFrom="paragraph">
                  <wp:posOffset>-342900</wp:posOffset>
                </wp:positionV>
                <wp:extent cx="5719137" cy="342642"/>
                <wp:effectExtent l="0" t="0" r="0" b="0"/>
                <wp:wrapNone/>
                <wp:docPr id="4" name="テキスト 4"/>
                <wp:cNvGraphicFramePr/>
                <a:graphic xmlns:a="http://schemas.openxmlformats.org/drawingml/2006/main">
                  <a:graphicData uri="http://schemas.microsoft.com/office/word/2010/wordprocessingShape">
                    <wps:wsp>
                      <wps:cNvSpPr txBox="1"/>
                      <wps:spPr>
                        <a:xfrm>
                          <a:off x="0" y="0"/>
                          <a:ext cx="5719137" cy="34264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C06087" w14:textId="77777777" w:rsidR="007528CD" w:rsidRPr="00940A65" w:rsidRDefault="007528CD" w:rsidP="007528CD">
                            <w:pPr>
                              <w:ind w:right="-54"/>
                              <w:rPr>
                                <w:color w:val="00B050"/>
                              </w:rPr>
                            </w:pPr>
                            <w:r w:rsidRPr="00940A65">
                              <w:rPr>
                                <w:color w:val="00B050"/>
                              </w:rPr>
                              <w:t>Abstract</w:t>
                            </w:r>
                            <w:r>
                              <w:rPr>
                                <w:color w:val="00B050"/>
                              </w:rPr>
                              <w:t>,</w:t>
                            </w:r>
                            <w:r w:rsidRPr="00940A65">
                              <w:rPr>
                                <w:color w:val="00B050"/>
                              </w:rPr>
                              <w:t xml:space="preserve"> #MS6-PS</w:t>
                            </w:r>
                            <w:r>
                              <w:rPr>
                                <w:color w:val="00B050"/>
                              </w:rPr>
                              <w:t>1</w:t>
                            </w:r>
                            <w:r w:rsidRPr="00940A65">
                              <w:rPr>
                                <w:color w:val="00B050"/>
                              </w:rPr>
                              <w:t>, AsCA2015, Kolkata, India</w:t>
                            </w:r>
                            <w:r>
                              <w:rPr>
                                <w:color w:val="00B050"/>
                              </w:rPr>
                              <w:t>, Dec. 6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E992D" id="_x0000_t202" coordsize="21600,21600" o:spt="202" path="m0,0l0,21600,21600,21600,21600,0xe">
                <v:stroke joinstyle="miter"/>
                <v:path gradientshapeok="t" o:connecttype="rect"/>
              </v:shapetype>
              <v:shape id="_x30c6__x30ad__x30b9__x30c8__x0020_4" o:spid="_x0000_s1026" type="#_x0000_t202" style="position:absolute;left:0;text-align:left;margin-left:-.1pt;margin-top:-26.95pt;width:450.3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" filled="f" stroked="f">
                <v:textbox>
                  <w:txbxContent>
                    <w:p w14:paraId="1FC06087" w14:textId="77777777" w:rsidR="007528CD" w:rsidRPr="00940A65" w:rsidRDefault="007528CD" w:rsidP="007528CD">
                      <w:pPr>
                        <w:ind w:right="-54"/>
                        <w:rPr>
                          <w:color w:val="00B050"/>
                        </w:rPr>
                      </w:pPr>
                      <w:r w:rsidRPr="00940A65">
                        <w:rPr>
                          <w:color w:val="00B050"/>
                        </w:rPr>
                        <w:t>Abstract</w:t>
                      </w:r>
                      <w:r>
                        <w:rPr>
                          <w:color w:val="00B050"/>
                        </w:rPr>
                        <w:t>,</w:t>
                      </w:r>
                      <w:r w:rsidRPr="00940A65">
                        <w:rPr>
                          <w:color w:val="00B050"/>
                        </w:rPr>
                        <w:t xml:space="preserve"> #MS6-PS</w:t>
                      </w:r>
                      <w:r>
                        <w:rPr>
                          <w:color w:val="00B050"/>
                        </w:rPr>
                        <w:t>1</w:t>
                      </w:r>
                      <w:r w:rsidRPr="00940A65">
                        <w:rPr>
                          <w:color w:val="00B050"/>
                        </w:rPr>
                        <w:t>, AsCA2015, Kolkata, India</w:t>
                      </w:r>
                      <w:r>
                        <w:rPr>
                          <w:color w:val="00B050"/>
                        </w:rPr>
                        <w:t>, Dec. 6 (2015)</w:t>
                      </w:r>
                    </w:p>
                  </w:txbxContent>
                </v:textbox>
              </v:shape>
            </w:pict>
          </mc:Fallback>
        </mc:AlternateContent>
      </w:r>
    </w:p>
    <w:tbl>
      <w:tblPr>
        <w:tblW w:w="5000" w:type="pct"/>
        <w:tblLook w:val="04A0" w:firstRow="1" w:lastRow="0" w:firstColumn="1" w:lastColumn="0" w:noHBand="0" w:noVBand="1"/>
      </w:tblPr>
      <w:tblGrid>
        <w:gridCol w:w="9070"/>
      </w:tblGrid>
      <w:tr w:rsidR="00D70290" w:rsidRPr="00BF108E" w14:paraId="6152E512" w14:textId="77777777" w:rsidTr="0015139D">
        <w:tc>
          <w:tcPr>
            <w:tcW w:w="5000" w:type="pct"/>
          </w:tcPr>
          <w:p w14:paraId="4A139D9A" w14:textId="77777777" w:rsidR="00D70290" w:rsidRDefault="00621B35" w:rsidP="00621B35">
            <w:pPr>
              <w:snapToGrid w:val="0"/>
              <w:ind w:right="-54"/>
              <w:rPr>
                <w:rFonts w:ascii="Arial" w:eastAsia="Batang" w:hAnsi="Arial" w:cs="Arial"/>
                <w:b/>
                <w:bCs/>
                <w:sz w:val="28"/>
                <w:szCs w:val="28"/>
              </w:rPr>
            </w:pPr>
            <w:r w:rsidRPr="00621B35">
              <w:rPr>
                <w:rFonts w:ascii="Arial" w:eastAsia="Batang" w:hAnsi="Arial" w:cs="Arial"/>
                <w:b/>
                <w:bCs/>
                <w:sz w:val="28"/>
                <w:szCs w:val="28"/>
              </w:rPr>
              <w:t xml:space="preserve">Evaluation of crystallite size from synchrotron powder diffraction data collected with </w:t>
            </w:r>
            <w:r w:rsidR="005C44C8">
              <w:rPr>
                <w:rFonts w:ascii="Arial" w:eastAsia="Batang" w:hAnsi="Arial" w:cs="Arial"/>
                <w:b/>
                <w:bCs/>
                <w:sz w:val="28"/>
                <w:szCs w:val="28"/>
              </w:rPr>
              <w:t xml:space="preserve">a </w:t>
            </w:r>
            <w:r w:rsidRPr="00621B35">
              <w:rPr>
                <w:rFonts w:ascii="Arial" w:eastAsia="Batang" w:hAnsi="Arial" w:cs="Arial"/>
                <w:b/>
                <w:bCs/>
                <w:sz w:val="28"/>
                <w:szCs w:val="28"/>
              </w:rPr>
              <w:t>flat two-dimensional X-ray detector</w:t>
            </w:r>
          </w:p>
          <w:p w14:paraId="6D91EB18" w14:textId="77777777" w:rsidR="00621B35" w:rsidRPr="00621B35" w:rsidRDefault="00621B35" w:rsidP="00621B35">
            <w:pPr>
              <w:snapToGrid w:val="0"/>
              <w:ind w:right="-54"/>
              <w:rPr>
                <w:rFonts w:ascii="Arial" w:eastAsia="Batang" w:hAnsi="Arial" w:cs="Arial"/>
                <w:b/>
                <w:bCs/>
                <w:sz w:val="28"/>
                <w:szCs w:val="28"/>
              </w:rPr>
            </w:pPr>
          </w:p>
          <w:p w14:paraId="11F4E2DF" w14:textId="77777777" w:rsidR="00D70290" w:rsidRPr="00177439" w:rsidRDefault="00621B35" w:rsidP="00D70290">
            <w:pPr>
              <w:pStyle w:val="a7"/>
              <w:spacing w:before="0" w:line="240" w:lineRule="auto"/>
              <w:jc w:val="both"/>
              <w:rPr>
                <w:rFonts w:eastAsia="Batang"/>
                <w:strike w:val="0"/>
                <w:kern w:val="2"/>
                <w:sz w:val="24"/>
                <w:szCs w:val="24"/>
                <w:lang w:val="en-US" w:eastAsia="ko-KR"/>
              </w:rPr>
            </w:pPr>
            <w:proofErr w:type="spellStart"/>
            <w:r>
              <w:rPr>
                <w:rFonts w:eastAsia="Batang"/>
                <w:strike w:val="0"/>
                <w:kern w:val="2"/>
                <w:sz w:val="24"/>
                <w:szCs w:val="24"/>
                <w:u w:val="single"/>
                <w:lang w:val="en-US" w:eastAsia="ko-KR"/>
              </w:rPr>
              <w:t>Shoki</w:t>
            </w:r>
            <w:proofErr w:type="spellEnd"/>
            <w:r w:rsidR="00E2092F">
              <w:rPr>
                <w:rFonts w:eastAsia="Batang"/>
                <w:strike w:val="0"/>
                <w:kern w:val="2"/>
                <w:sz w:val="24"/>
                <w:szCs w:val="24"/>
                <w:u w:val="single"/>
                <w:lang w:val="en-US" w:eastAsia="ko-KR"/>
              </w:rPr>
              <w:t xml:space="preserve"> </w:t>
            </w:r>
            <w:r>
              <w:rPr>
                <w:rFonts w:eastAsia="Batang"/>
                <w:strike w:val="0"/>
                <w:kern w:val="2"/>
                <w:sz w:val="24"/>
                <w:szCs w:val="24"/>
                <w:u w:val="single"/>
                <w:lang w:val="en-US" w:eastAsia="ko-KR"/>
              </w:rPr>
              <w:t>Ono</w:t>
            </w:r>
            <w:r w:rsidR="00D70290" w:rsidRPr="007528CD">
              <w:rPr>
                <w:strike w:val="0"/>
                <w:kern w:val="2"/>
                <w:sz w:val="24"/>
                <w:szCs w:val="24"/>
                <w:vertAlign w:val="superscript"/>
                <w:lang w:val="en-US"/>
              </w:rPr>
              <w:t>1</w:t>
            </w:r>
            <w:r w:rsidR="00D70290" w:rsidRPr="00177439">
              <w:rPr>
                <w:strike w:val="0"/>
                <w:kern w:val="2"/>
                <w:sz w:val="24"/>
                <w:szCs w:val="24"/>
                <w:lang w:val="en-US"/>
              </w:rPr>
              <w:t xml:space="preserve">, </w:t>
            </w:r>
            <w:proofErr w:type="spellStart"/>
            <w:r w:rsidR="00340050">
              <w:rPr>
                <w:rFonts w:eastAsia="Batang"/>
                <w:strike w:val="0"/>
                <w:kern w:val="2"/>
                <w:sz w:val="24"/>
                <w:szCs w:val="24"/>
                <w:lang w:val="en-US" w:eastAsia="ko-KR"/>
              </w:rPr>
              <w:t>Daiki</w:t>
            </w:r>
            <w:proofErr w:type="spellEnd"/>
            <w:r w:rsidR="00340050">
              <w:rPr>
                <w:rFonts w:eastAsia="Batang"/>
                <w:strike w:val="0"/>
                <w:kern w:val="2"/>
                <w:sz w:val="24"/>
                <w:szCs w:val="24"/>
                <w:lang w:val="en-US" w:eastAsia="ko-KR"/>
              </w:rPr>
              <w:t xml:space="preserve"> Hattan</w:t>
            </w:r>
            <w:r w:rsidR="00340050">
              <w:rPr>
                <w:strike w:val="0"/>
                <w:kern w:val="2"/>
                <w:sz w:val="24"/>
                <w:szCs w:val="24"/>
                <w:vertAlign w:val="superscript"/>
                <w:lang w:val="en-US"/>
              </w:rPr>
              <w:t>1</w:t>
            </w:r>
            <w:r w:rsidR="00340050" w:rsidRPr="00177439">
              <w:rPr>
                <w:strike w:val="0"/>
                <w:kern w:val="2"/>
                <w:sz w:val="24"/>
                <w:szCs w:val="24"/>
                <w:lang w:val="en-US"/>
              </w:rPr>
              <w:t xml:space="preserve">, </w:t>
            </w:r>
            <w:proofErr w:type="spellStart"/>
            <w:r w:rsidR="00E2092F">
              <w:rPr>
                <w:rFonts w:eastAsia="Batang"/>
                <w:strike w:val="0"/>
                <w:kern w:val="2"/>
                <w:sz w:val="24"/>
                <w:szCs w:val="24"/>
                <w:lang w:val="en-US" w:eastAsia="ko-KR"/>
              </w:rPr>
              <w:t>Kento</w:t>
            </w:r>
            <w:proofErr w:type="spellEnd"/>
            <w:r w:rsidR="00E2092F">
              <w:rPr>
                <w:rFonts w:eastAsia="Batang"/>
                <w:strike w:val="0"/>
                <w:kern w:val="2"/>
                <w:sz w:val="24"/>
                <w:szCs w:val="24"/>
                <w:lang w:val="en-US" w:eastAsia="ko-KR"/>
              </w:rPr>
              <w:t xml:space="preserve"> Wachi</w:t>
            </w:r>
            <w:r w:rsidR="00E2092F">
              <w:rPr>
                <w:strike w:val="0"/>
                <w:kern w:val="2"/>
                <w:sz w:val="24"/>
                <w:szCs w:val="24"/>
                <w:vertAlign w:val="superscript"/>
                <w:lang w:val="en-US"/>
              </w:rPr>
              <w:t>1</w:t>
            </w:r>
            <w:r w:rsidR="00E2092F" w:rsidRPr="00177439">
              <w:rPr>
                <w:strike w:val="0"/>
                <w:kern w:val="2"/>
                <w:sz w:val="24"/>
                <w:szCs w:val="24"/>
                <w:lang w:val="en-US"/>
              </w:rPr>
              <w:t xml:space="preserve">, </w:t>
            </w:r>
            <w:r>
              <w:rPr>
                <w:strike w:val="0"/>
                <w:kern w:val="2"/>
                <w:sz w:val="24"/>
                <w:szCs w:val="24"/>
                <w:lang w:val="en-US"/>
              </w:rPr>
              <w:t>Shoji Tachiki</w:t>
            </w:r>
            <w:r>
              <w:rPr>
                <w:strike w:val="0"/>
                <w:kern w:val="2"/>
                <w:sz w:val="24"/>
                <w:szCs w:val="24"/>
                <w:vertAlign w:val="superscript"/>
                <w:lang w:val="en-US"/>
              </w:rPr>
              <w:t>2</w:t>
            </w:r>
            <w:r>
              <w:rPr>
                <w:strike w:val="0"/>
                <w:kern w:val="2"/>
                <w:sz w:val="24"/>
                <w:szCs w:val="24"/>
                <w:lang w:val="en-US"/>
              </w:rPr>
              <w:t xml:space="preserve">, </w:t>
            </w:r>
            <w:r w:rsidR="00E2092F">
              <w:rPr>
                <w:rFonts w:eastAsia="Batang"/>
                <w:strike w:val="0"/>
                <w:kern w:val="2"/>
                <w:sz w:val="24"/>
                <w:szCs w:val="24"/>
                <w:lang w:val="en-US" w:eastAsia="ko-KR"/>
              </w:rPr>
              <w:t>Yuki Nakanishi</w:t>
            </w:r>
            <w:r w:rsidR="00E2092F">
              <w:rPr>
                <w:strike w:val="0"/>
                <w:kern w:val="2"/>
                <w:sz w:val="24"/>
                <w:szCs w:val="24"/>
                <w:vertAlign w:val="superscript"/>
                <w:lang w:val="en-US"/>
              </w:rPr>
              <w:t>2</w:t>
            </w:r>
            <w:r w:rsidR="00E2092F" w:rsidRPr="00177439">
              <w:rPr>
                <w:strike w:val="0"/>
                <w:kern w:val="2"/>
                <w:sz w:val="24"/>
                <w:szCs w:val="24"/>
                <w:lang w:val="en-US"/>
              </w:rPr>
              <w:t xml:space="preserve">, </w:t>
            </w:r>
            <w:r w:rsidR="00E2092F">
              <w:rPr>
                <w:rFonts w:eastAsia="Batang"/>
                <w:strike w:val="0"/>
                <w:kern w:val="2"/>
                <w:sz w:val="24"/>
                <w:szCs w:val="24"/>
                <w:lang w:val="en-US" w:eastAsia="ko-KR"/>
              </w:rPr>
              <w:t>Yasuhiro Sakuma</w:t>
            </w:r>
            <w:r w:rsidR="00E2092F">
              <w:rPr>
                <w:strike w:val="0"/>
                <w:kern w:val="2"/>
                <w:sz w:val="24"/>
                <w:szCs w:val="24"/>
                <w:vertAlign w:val="superscript"/>
                <w:lang w:val="en-US"/>
              </w:rPr>
              <w:t>2</w:t>
            </w:r>
            <w:r w:rsidR="00E2092F" w:rsidRPr="00177439">
              <w:rPr>
                <w:strike w:val="0"/>
                <w:kern w:val="2"/>
                <w:sz w:val="24"/>
                <w:szCs w:val="24"/>
                <w:lang w:val="en-US"/>
              </w:rPr>
              <w:t xml:space="preserve">, </w:t>
            </w:r>
            <w:r w:rsidR="00DC6104">
              <w:rPr>
                <w:strike w:val="0"/>
                <w:kern w:val="2"/>
                <w:sz w:val="24"/>
                <w:szCs w:val="24"/>
                <w:lang w:val="en-US"/>
              </w:rPr>
              <w:t>Akiko Nozaki</w:t>
            </w:r>
            <w:bookmarkStart w:id="0" w:name="_GoBack"/>
            <w:bookmarkEnd w:id="0"/>
            <w:r w:rsidR="00DC6104" w:rsidRPr="00DC6104">
              <w:rPr>
                <w:strike w:val="0"/>
                <w:kern w:val="2"/>
                <w:sz w:val="24"/>
                <w:szCs w:val="24"/>
                <w:vertAlign w:val="superscript"/>
                <w:lang w:val="en-US"/>
              </w:rPr>
              <w:t>2</w:t>
            </w:r>
            <w:r w:rsidR="00DC6104">
              <w:rPr>
                <w:strike w:val="0"/>
                <w:kern w:val="2"/>
                <w:sz w:val="24"/>
                <w:szCs w:val="24"/>
                <w:lang w:val="en-US"/>
              </w:rPr>
              <w:t xml:space="preserve">, </w:t>
            </w:r>
            <w:r w:rsidR="00E2092F">
              <w:rPr>
                <w:rFonts w:eastAsia="Batang"/>
                <w:strike w:val="0"/>
                <w:kern w:val="2"/>
                <w:sz w:val="24"/>
                <w:szCs w:val="24"/>
                <w:lang w:val="en-US" w:eastAsia="ko-KR"/>
              </w:rPr>
              <w:t>Hiroyuki Asakura</w:t>
            </w:r>
            <w:r w:rsidR="00E2092F">
              <w:rPr>
                <w:strike w:val="0"/>
                <w:kern w:val="2"/>
                <w:sz w:val="24"/>
                <w:szCs w:val="24"/>
                <w:vertAlign w:val="superscript"/>
                <w:lang w:val="en-US"/>
              </w:rPr>
              <w:t>2,3</w:t>
            </w:r>
            <w:r w:rsidR="00E2092F" w:rsidRPr="00177439">
              <w:rPr>
                <w:strike w:val="0"/>
                <w:kern w:val="2"/>
                <w:sz w:val="24"/>
                <w:szCs w:val="24"/>
                <w:lang w:val="en-US"/>
              </w:rPr>
              <w:t xml:space="preserve">, </w:t>
            </w:r>
            <w:r w:rsidR="00E2092F">
              <w:rPr>
                <w:rFonts w:eastAsia="Batang"/>
                <w:strike w:val="0"/>
                <w:kern w:val="2"/>
                <w:sz w:val="24"/>
                <w:szCs w:val="24"/>
                <w:lang w:val="en-US" w:eastAsia="ko-KR"/>
              </w:rPr>
              <w:t>Masao Tabuchi</w:t>
            </w:r>
            <w:r w:rsidR="00E2092F">
              <w:rPr>
                <w:strike w:val="0"/>
                <w:kern w:val="2"/>
                <w:sz w:val="24"/>
                <w:szCs w:val="24"/>
                <w:vertAlign w:val="superscript"/>
                <w:lang w:val="en-US"/>
              </w:rPr>
              <w:t>2,3</w:t>
            </w:r>
            <w:r w:rsidR="00E2092F" w:rsidRPr="00177439">
              <w:rPr>
                <w:strike w:val="0"/>
                <w:kern w:val="2"/>
                <w:sz w:val="24"/>
                <w:szCs w:val="24"/>
                <w:lang w:val="en-US"/>
              </w:rPr>
              <w:t xml:space="preserve">, </w:t>
            </w:r>
            <w:proofErr w:type="spellStart"/>
            <w:r w:rsidR="00E2092F">
              <w:rPr>
                <w:rFonts w:eastAsia="Batang"/>
                <w:strike w:val="0"/>
                <w:kern w:val="2"/>
                <w:sz w:val="24"/>
                <w:szCs w:val="24"/>
                <w:lang w:val="en-US" w:eastAsia="ko-KR"/>
              </w:rPr>
              <w:t>Nobuhisa</w:t>
            </w:r>
            <w:proofErr w:type="spellEnd"/>
            <w:r w:rsidR="00E2092F">
              <w:rPr>
                <w:rFonts w:eastAsia="Batang"/>
                <w:strike w:val="0"/>
                <w:kern w:val="2"/>
                <w:sz w:val="24"/>
                <w:szCs w:val="24"/>
                <w:lang w:val="en-US" w:eastAsia="ko-KR"/>
              </w:rPr>
              <w:t xml:space="preserve"> Watanabe</w:t>
            </w:r>
            <w:r w:rsidR="00E2092F">
              <w:rPr>
                <w:strike w:val="0"/>
                <w:kern w:val="2"/>
                <w:sz w:val="24"/>
                <w:szCs w:val="24"/>
                <w:vertAlign w:val="superscript"/>
                <w:lang w:val="en-US"/>
              </w:rPr>
              <w:t>2,3</w:t>
            </w:r>
            <w:r>
              <w:rPr>
                <w:strike w:val="0"/>
                <w:kern w:val="2"/>
                <w:sz w:val="24"/>
                <w:szCs w:val="24"/>
                <w:lang w:val="en-US"/>
              </w:rPr>
              <w:t xml:space="preserve"> </w:t>
            </w:r>
            <w:r w:rsidR="00D70290" w:rsidRPr="00177439">
              <w:rPr>
                <w:rFonts w:eastAsia="Batang"/>
                <w:strike w:val="0"/>
                <w:kern w:val="2"/>
                <w:sz w:val="24"/>
                <w:szCs w:val="24"/>
                <w:lang w:val="en-US" w:eastAsia="ko-KR"/>
              </w:rPr>
              <w:t xml:space="preserve">and </w:t>
            </w:r>
            <w:r>
              <w:rPr>
                <w:rFonts w:eastAsia="Batang"/>
                <w:strike w:val="0"/>
                <w:kern w:val="2"/>
                <w:sz w:val="24"/>
                <w:szCs w:val="24"/>
                <w:lang w:val="en-US" w:eastAsia="ko-KR"/>
              </w:rPr>
              <w:t>Takashi Ida</w:t>
            </w:r>
            <w:r>
              <w:rPr>
                <w:rFonts w:eastAsia="Batang"/>
                <w:strike w:val="0"/>
                <w:kern w:val="2"/>
                <w:sz w:val="24"/>
                <w:szCs w:val="24"/>
                <w:vertAlign w:val="superscript"/>
                <w:lang w:val="en-US" w:eastAsia="ko-KR"/>
              </w:rPr>
              <w:t>1,2</w:t>
            </w:r>
            <w:r w:rsidR="00D70290" w:rsidRPr="00177439">
              <w:rPr>
                <w:rFonts w:eastAsia="Batang"/>
                <w:strike w:val="0"/>
                <w:kern w:val="2"/>
                <w:sz w:val="24"/>
                <w:szCs w:val="24"/>
                <w:vertAlign w:val="superscript"/>
                <w:lang w:val="en-US" w:eastAsia="ko-KR"/>
              </w:rPr>
              <w:t xml:space="preserve"> </w:t>
            </w:r>
          </w:p>
          <w:p w14:paraId="7AB02EE5" w14:textId="77777777" w:rsidR="00D70290" w:rsidRPr="00D70290" w:rsidRDefault="00D70290" w:rsidP="00D70290">
            <w:pPr>
              <w:snapToGrid w:val="0"/>
              <w:ind w:left="2" w:right="-54"/>
              <w:rPr>
                <w:rFonts w:ascii="Times New Roman" w:eastAsia="Batang" w:hAnsi="Times New Roman"/>
                <w:i/>
                <w:iCs/>
                <w:sz w:val="22"/>
                <w:vertAlign w:val="superscript"/>
              </w:rPr>
            </w:pPr>
          </w:p>
          <w:p w14:paraId="5403F5A3" w14:textId="77777777" w:rsidR="00D70290" w:rsidRPr="00D70290" w:rsidRDefault="00D70290" w:rsidP="00D70290">
            <w:pPr>
              <w:snapToGrid w:val="0"/>
              <w:ind w:left="2" w:right="-54"/>
              <w:rPr>
                <w:rFonts w:ascii="Times New Roman" w:eastAsia="Batang" w:hAnsi="Times New Roman"/>
                <w:i/>
                <w:iCs/>
                <w:sz w:val="22"/>
              </w:rPr>
            </w:pPr>
            <w:r w:rsidRPr="00BF108E">
              <w:rPr>
                <w:rFonts w:ascii="Times New Roman" w:hAnsi="Times New Roman"/>
                <w:i/>
                <w:iCs/>
                <w:sz w:val="22"/>
                <w:vertAlign w:val="superscript"/>
              </w:rPr>
              <w:t>1</w:t>
            </w:r>
            <w:r w:rsidR="00E2092F">
              <w:rPr>
                <w:rFonts w:ascii="Times New Roman" w:eastAsia="Batang" w:hAnsi="Times New Roman"/>
                <w:i/>
                <w:iCs/>
                <w:sz w:val="22"/>
              </w:rPr>
              <w:t>Advanced Ceramics Research Center</w:t>
            </w:r>
            <w:r w:rsidRPr="00BF108E">
              <w:rPr>
                <w:rFonts w:ascii="Times New Roman" w:hAnsi="Times New Roman"/>
                <w:i/>
                <w:iCs/>
                <w:sz w:val="22"/>
              </w:rPr>
              <w:t xml:space="preserve">, </w:t>
            </w:r>
            <w:r w:rsidR="00E2092F">
              <w:rPr>
                <w:rFonts w:ascii="Times New Roman" w:hAnsi="Times New Roman"/>
                <w:i/>
                <w:iCs/>
                <w:sz w:val="22"/>
              </w:rPr>
              <w:t>Nagoya Institute of Technology</w:t>
            </w:r>
            <w:r w:rsidRPr="00BF108E">
              <w:rPr>
                <w:rFonts w:ascii="Times New Roman" w:hAnsi="Times New Roman"/>
                <w:i/>
                <w:iCs/>
                <w:sz w:val="22"/>
              </w:rPr>
              <w:t xml:space="preserve">, </w:t>
            </w:r>
            <w:proofErr w:type="spellStart"/>
            <w:r w:rsidR="00340050">
              <w:rPr>
                <w:rFonts w:ascii="Times New Roman" w:hAnsi="Times New Roman"/>
                <w:i/>
                <w:iCs/>
                <w:sz w:val="22"/>
              </w:rPr>
              <w:t>Asahigaoka</w:t>
            </w:r>
            <w:proofErr w:type="spellEnd"/>
            <w:r w:rsidR="00340050">
              <w:rPr>
                <w:rFonts w:ascii="Times New Roman" w:hAnsi="Times New Roman"/>
                <w:i/>
                <w:iCs/>
                <w:sz w:val="22"/>
              </w:rPr>
              <w:t xml:space="preserve">, </w:t>
            </w:r>
            <w:proofErr w:type="spellStart"/>
            <w:r w:rsidR="00E2092F">
              <w:rPr>
                <w:rFonts w:ascii="Times New Roman" w:eastAsia="Batang" w:hAnsi="Times New Roman"/>
                <w:i/>
                <w:iCs/>
                <w:sz w:val="22"/>
              </w:rPr>
              <w:t>Tajimi</w:t>
            </w:r>
            <w:proofErr w:type="spellEnd"/>
            <w:r w:rsidR="00621B35">
              <w:rPr>
                <w:rFonts w:ascii="Times New Roman" w:eastAsia="Batang" w:hAnsi="Times New Roman"/>
                <w:i/>
                <w:iCs/>
                <w:sz w:val="22"/>
              </w:rPr>
              <w:t>,</w:t>
            </w:r>
            <w:r w:rsidR="00E2092F">
              <w:rPr>
                <w:rFonts w:ascii="Times New Roman" w:eastAsia="Batang" w:hAnsi="Times New Roman"/>
                <w:i/>
                <w:iCs/>
                <w:sz w:val="22"/>
              </w:rPr>
              <w:t xml:space="preserve"> Gifu</w:t>
            </w:r>
            <w:r w:rsidRPr="00D70290">
              <w:rPr>
                <w:rFonts w:ascii="Times New Roman" w:eastAsia="Batang" w:hAnsi="Times New Roman"/>
                <w:i/>
                <w:iCs/>
                <w:sz w:val="22"/>
              </w:rPr>
              <w:t xml:space="preserve"> </w:t>
            </w:r>
            <w:r w:rsidR="00E2092F">
              <w:rPr>
                <w:rFonts w:ascii="Times New Roman" w:eastAsia="Batang" w:hAnsi="Times New Roman"/>
                <w:i/>
                <w:iCs/>
                <w:sz w:val="22"/>
              </w:rPr>
              <w:t>507-</w:t>
            </w:r>
            <w:proofErr w:type="gramStart"/>
            <w:r w:rsidR="00E2092F">
              <w:rPr>
                <w:rFonts w:ascii="Times New Roman" w:eastAsia="Batang" w:hAnsi="Times New Roman"/>
                <w:i/>
                <w:iCs/>
                <w:sz w:val="22"/>
              </w:rPr>
              <w:t>0071</w:t>
            </w:r>
            <w:r w:rsidRPr="00D70290">
              <w:rPr>
                <w:rFonts w:ascii="Times New Roman" w:eastAsia="Batang" w:hAnsi="Times New Roman"/>
                <w:i/>
                <w:iCs/>
                <w:sz w:val="22"/>
              </w:rPr>
              <w:t>,</w:t>
            </w:r>
            <w:r w:rsidR="00E2092F">
              <w:rPr>
                <w:rFonts w:ascii="Times New Roman" w:eastAsia="Batang" w:hAnsi="Times New Roman"/>
                <w:i/>
                <w:iCs/>
                <w:sz w:val="22"/>
              </w:rPr>
              <w:t>Japan</w:t>
            </w:r>
            <w:proofErr w:type="gramEnd"/>
            <w:r w:rsidRPr="00D70290">
              <w:rPr>
                <w:rFonts w:ascii="Times New Roman" w:eastAsia="Batang" w:hAnsi="Times New Roman"/>
                <w:i/>
                <w:iCs/>
                <w:sz w:val="22"/>
              </w:rPr>
              <w:t>.</w:t>
            </w:r>
          </w:p>
          <w:p w14:paraId="36F33E2A" w14:textId="77777777" w:rsidR="00621B35" w:rsidRDefault="00D70290" w:rsidP="00D70290">
            <w:pPr>
              <w:snapToGrid w:val="0"/>
              <w:ind w:left="2" w:right="-54"/>
              <w:rPr>
                <w:rFonts w:ascii="Times New Roman" w:eastAsia="Batang" w:hAnsi="Times New Roman"/>
                <w:i/>
                <w:iCs/>
                <w:sz w:val="22"/>
              </w:rPr>
            </w:pPr>
            <w:r w:rsidRPr="00BF108E">
              <w:rPr>
                <w:rFonts w:ascii="Times New Roman" w:hAnsi="Times New Roman"/>
                <w:i/>
                <w:iCs/>
                <w:sz w:val="22"/>
                <w:vertAlign w:val="superscript"/>
              </w:rPr>
              <w:t>2</w:t>
            </w:r>
            <w:r w:rsidR="00E2092F">
              <w:rPr>
                <w:rFonts w:ascii="Times New Roman" w:eastAsia="Batang" w:hAnsi="Times New Roman"/>
                <w:i/>
                <w:iCs/>
                <w:sz w:val="22"/>
              </w:rPr>
              <w:t>Aichi Synchrotron Radiation Center</w:t>
            </w:r>
            <w:r w:rsidR="0010214A">
              <w:rPr>
                <w:rFonts w:ascii="Times New Roman" w:eastAsia="Batang" w:hAnsi="Times New Roman"/>
                <w:i/>
                <w:iCs/>
                <w:sz w:val="22"/>
              </w:rPr>
              <w:t xml:space="preserve">, </w:t>
            </w:r>
            <w:proofErr w:type="spellStart"/>
            <w:r w:rsidR="00621B35">
              <w:rPr>
                <w:rFonts w:ascii="Times New Roman" w:eastAsia="Batang" w:hAnsi="Times New Roman"/>
                <w:i/>
                <w:iCs/>
                <w:sz w:val="22"/>
              </w:rPr>
              <w:t>Minamiyamaguch</w:t>
            </w:r>
            <w:r w:rsidR="00340050">
              <w:rPr>
                <w:rFonts w:ascii="Times New Roman" w:eastAsia="Batang" w:hAnsi="Times New Roman"/>
                <w:i/>
                <w:iCs/>
                <w:sz w:val="22"/>
              </w:rPr>
              <w:t>i-cho</w:t>
            </w:r>
            <w:proofErr w:type="spellEnd"/>
            <w:r w:rsidR="00621B35">
              <w:rPr>
                <w:rFonts w:ascii="Times New Roman" w:eastAsia="Batang" w:hAnsi="Times New Roman"/>
                <w:i/>
                <w:iCs/>
                <w:sz w:val="22"/>
              </w:rPr>
              <w:t xml:space="preserve">, </w:t>
            </w:r>
            <w:proofErr w:type="spellStart"/>
            <w:r w:rsidR="00621B35">
              <w:rPr>
                <w:rFonts w:ascii="Times New Roman" w:eastAsia="Batang" w:hAnsi="Times New Roman"/>
                <w:i/>
                <w:iCs/>
                <w:sz w:val="22"/>
              </w:rPr>
              <w:t>Seto</w:t>
            </w:r>
            <w:proofErr w:type="spellEnd"/>
            <w:r w:rsidR="00621B35">
              <w:rPr>
                <w:rFonts w:ascii="Times New Roman" w:eastAsia="Batang" w:hAnsi="Times New Roman"/>
                <w:i/>
                <w:iCs/>
                <w:sz w:val="22"/>
              </w:rPr>
              <w:t>, Aichi 489-0965</w:t>
            </w:r>
            <w:r w:rsidRPr="00D70290">
              <w:rPr>
                <w:rFonts w:ascii="Times New Roman" w:eastAsia="Batang" w:hAnsi="Times New Roman"/>
                <w:i/>
                <w:iCs/>
                <w:sz w:val="22"/>
              </w:rPr>
              <w:t xml:space="preserve">, </w:t>
            </w:r>
            <w:r w:rsidR="00621B35">
              <w:rPr>
                <w:rFonts w:ascii="Times New Roman" w:eastAsia="Batang" w:hAnsi="Times New Roman"/>
                <w:i/>
                <w:iCs/>
                <w:sz w:val="22"/>
              </w:rPr>
              <w:t>Japan</w:t>
            </w:r>
            <w:r w:rsidRPr="00D70290">
              <w:rPr>
                <w:rFonts w:ascii="Times New Roman" w:eastAsia="Batang" w:hAnsi="Times New Roman"/>
                <w:i/>
                <w:iCs/>
                <w:sz w:val="22"/>
              </w:rPr>
              <w:t xml:space="preserve">. </w:t>
            </w:r>
          </w:p>
          <w:p w14:paraId="2CA4A3D5" w14:textId="77777777" w:rsidR="00621B35" w:rsidRDefault="00340050" w:rsidP="00621B35">
            <w:pPr>
              <w:snapToGrid w:val="0"/>
              <w:ind w:left="2" w:right="-54"/>
              <w:rPr>
                <w:rFonts w:ascii="Times New Roman" w:eastAsia="Batang" w:hAnsi="Times New Roman" w:hint="eastAsia"/>
                <w:i/>
                <w:iCs/>
                <w:sz w:val="22"/>
              </w:rPr>
            </w:pPr>
            <w:r>
              <w:rPr>
                <w:rFonts w:ascii="Times New Roman" w:hAnsi="Times New Roman"/>
                <w:i/>
                <w:iCs/>
                <w:sz w:val="22"/>
                <w:vertAlign w:val="superscript"/>
              </w:rPr>
              <w:t>3</w:t>
            </w:r>
            <w:r w:rsidR="00621B35">
              <w:rPr>
                <w:rFonts w:ascii="Times New Roman" w:eastAsia="Batang" w:hAnsi="Times New Roman"/>
                <w:i/>
                <w:iCs/>
                <w:sz w:val="22"/>
              </w:rPr>
              <w:t xml:space="preserve">Nagoya University Synchrotron Radiation </w:t>
            </w:r>
            <w:proofErr w:type="spellStart"/>
            <w:r w:rsidR="00621B35">
              <w:rPr>
                <w:rFonts w:ascii="Times New Roman" w:eastAsia="Batang" w:hAnsi="Times New Roman"/>
                <w:i/>
                <w:iCs/>
                <w:sz w:val="22"/>
              </w:rPr>
              <w:t>Resarch</w:t>
            </w:r>
            <w:proofErr w:type="spellEnd"/>
            <w:r w:rsidR="00621B35">
              <w:rPr>
                <w:rFonts w:ascii="Times New Roman" w:eastAsia="Batang" w:hAnsi="Times New Roman"/>
                <w:i/>
                <w:iCs/>
                <w:sz w:val="22"/>
              </w:rPr>
              <w:t xml:space="preserve"> Center, Nagoya University, Chikusa</w:t>
            </w:r>
            <w:r>
              <w:rPr>
                <w:rFonts w:ascii="Times New Roman" w:eastAsia="Batang" w:hAnsi="Times New Roman"/>
                <w:i/>
                <w:iCs/>
                <w:sz w:val="22"/>
              </w:rPr>
              <w:t>-</w:t>
            </w:r>
            <w:proofErr w:type="spellStart"/>
            <w:r>
              <w:rPr>
                <w:rFonts w:ascii="Times New Roman" w:eastAsia="Batang" w:hAnsi="Times New Roman"/>
                <w:i/>
                <w:iCs/>
                <w:sz w:val="22"/>
              </w:rPr>
              <w:t>ku</w:t>
            </w:r>
            <w:proofErr w:type="spellEnd"/>
            <w:r w:rsidR="00621B35">
              <w:rPr>
                <w:rFonts w:ascii="Times New Roman" w:eastAsia="Batang" w:hAnsi="Times New Roman"/>
                <w:i/>
                <w:iCs/>
                <w:sz w:val="22"/>
              </w:rPr>
              <w:t>, Nagoya</w:t>
            </w:r>
            <w:r w:rsidR="009A227A">
              <w:rPr>
                <w:rFonts w:ascii="Times New Roman" w:eastAsia="Batang" w:hAnsi="Times New Roman"/>
                <w:i/>
                <w:iCs/>
                <w:sz w:val="22"/>
              </w:rPr>
              <w:t xml:space="preserve"> 464-8601</w:t>
            </w:r>
            <w:r w:rsidR="00621B35">
              <w:rPr>
                <w:rFonts w:ascii="Times New Roman" w:eastAsia="Batang" w:hAnsi="Times New Roman"/>
                <w:i/>
                <w:iCs/>
                <w:sz w:val="22"/>
              </w:rPr>
              <w:t>, Japan</w:t>
            </w:r>
            <w:r w:rsidR="00621B35" w:rsidRPr="00D70290">
              <w:rPr>
                <w:rFonts w:ascii="Times New Roman" w:eastAsia="Batang" w:hAnsi="Times New Roman"/>
                <w:i/>
                <w:iCs/>
                <w:sz w:val="22"/>
              </w:rPr>
              <w:t xml:space="preserve">. </w:t>
            </w:r>
          </w:p>
          <w:p w14:paraId="432DDC4C" w14:textId="77777777" w:rsidR="00DC6104" w:rsidRDefault="00DC6104" w:rsidP="00621B35">
            <w:pPr>
              <w:snapToGrid w:val="0"/>
              <w:ind w:left="2" w:right="-54"/>
              <w:rPr>
                <w:rFonts w:ascii="Times New Roman" w:eastAsia="Batang" w:hAnsi="Times New Roman" w:hint="eastAsia"/>
                <w:i/>
                <w:iCs/>
                <w:sz w:val="22"/>
              </w:rPr>
            </w:pPr>
          </w:p>
          <w:p w14:paraId="5169391C" w14:textId="77777777" w:rsidR="00D70290" w:rsidRPr="00D70290" w:rsidRDefault="00D70290" w:rsidP="00D70290">
            <w:pPr>
              <w:snapToGrid w:val="0"/>
              <w:ind w:left="2" w:right="-54"/>
              <w:rPr>
                <w:rFonts w:ascii="Times New Roman" w:eastAsia="Batang" w:hAnsi="Times New Roman"/>
                <w:iCs/>
                <w:sz w:val="22"/>
              </w:rPr>
            </w:pPr>
            <w:r w:rsidRPr="00D70290">
              <w:rPr>
                <w:rFonts w:ascii="Times New Roman" w:eastAsia="Batang" w:hAnsi="Times New Roman"/>
                <w:iCs/>
                <w:sz w:val="22"/>
              </w:rPr>
              <w:t xml:space="preserve">E-mail: </w:t>
            </w:r>
            <w:r w:rsidR="009A227A" w:rsidRPr="009A227A">
              <w:rPr>
                <w:rFonts w:ascii="Times New Roman" w:eastAsia="Batang" w:hAnsi="Times New Roman"/>
                <w:iCs/>
                <w:sz w:val="22"/>
                <w:u w:val="single"/>
              </w:rPr>
              <w:t>27413313@stn.nitech.ac.jp</w:t>
            </w:r>
          </w:p>
          <w:p w14:paraId="4CC0B76B" w14:textId="77777777" w:rsidR="00D70290" w:rsidRPr="00177439" w:rsidRDefault="00D70290" w:rsidP="00D70290">
            <w:pPr>
              <w:pStyle w:val="a5"/>
              <w:spacing w:beforeLines="0" w:line="240" w:lineRule="auto"/>
              <w:ind w:right="0"/>
              <w:rPr>
                <w:rFonts w:eastAsia="Batang"/>
                <w:kern w:val="2"/>
                <w:sz w:val="22"/>
                <w:szCs w:val="22"/>
                <w:lang w:val="en-US" w:eastAsia="ko-KR"/>
              </w:rPr>
            </w:pPr>
          </w:p>
          <w:p w14:paraId="18497251" w14:textId="77777777" w:rsidR="005C44C8" w:rsidRDefault="009A227A" w:rsidP="00D70290">
            <w:pPr>
              <w:pStyle w:val="a5"/>
              <w:spacing w:beforeLines="0" w:line="240" w:lineRule="auto"/>
              <w:ind w:right="0"/>
              <w:rPr>
                <w:rFonts w:eastAsia="Batang"/>
                <w:kern w:val="2"/>
                <w:sz w:val="22"/>
                <w:szCs w:val="22"/>
                <w:lang w:val="en-US" w:eastAsia="ko-KR"/>
              </w:rPr>
            </w:pPr>
            <w:r>
              <w:rPr>
                <w:rFonts w:eastAsia="Batang"/>
                <w:kern w:val="2"/>
                <w:sz w:val="22"/>
                <w:szCs w:val="22"/>
                <w:lang w:val="en-US" w:eastAsia="ko-KR"/>
              </w:rPr>
              <w:t xml:space="preserve">We have shown that crystallite size of the order of 5–50 </w:t>
            </w:r>
            <w:r w:rsidRPr="00600C3B">
              <w:rPr>
                <w:rFonts w:eastAsia="Batang"/>
                <w:kern w:val="2"/>
                <w:sz w:val="22"/>
                <w:szCs w:val="22"/>
                <w:lang w:val="en-US" w:eastAsia="ja-JP"/>
              </w:rPr>
              <w:t>μ</w:t>
            </w:r>
            <w:r>
              <w:rPr>
                <w:rFonts w:eastAsia="ＭＳ 明朝" w:cs="ＭＳ 明朝"/>
                <w:kern w:val="2"/>
                <w:sz w:val="22"/>
                <w:szCs w:val="22"/>
                <w:lang w:val="en-US" w:eastAsia="ja-JP"/>
              </w:rPr>
              <w:t>m</w:t>
            </w:r>
            <w:r>
              <w:rPr>
                <w:rFonts w:eastAsia="Batang"/>
                <w:kern w:val="2"/>
                <w:sz w:val="22"/>
                <w:szCs w:val="22"/>
                <w:lang w:val="en-US" w:eastAsia="ko-KR"/>
              </w:rPr>
              <w:t xml:space="preserve"> can be evaluated by statistical analysis of powder diffraction intensit</w:t>
            </w:r>
            <w:r w:rsidR="00DC6104">
              <w:rPr>
                <w:rFonts w:eastAsia="Batang"/>
                <w:kern w:val="2"/>
                <w:sz w:val="22"/>
                <w:szCs w:val="22"/>
                <w:lang w:val="en-US" w:eastAsia="ko-KR"/>
              </w:rPr>
              <w:t>ies</w:t>
            </w:r>
            <w:r>
              <w:rPr>
                <w:rFonts w:eastAsia="Batang"/>
                <w:kern w:val="2"/>
                <w:sz w:val="22"/>
                <w:szCs w:val="22"/>
                <w:lang w:val="en-US" w:eastAsia="ko-KR"/>
              </w:rPr>
              <w:t xml:space="preserve"> collected by step-wise rotation of a </w:t>
            </w:r>
            <w:r w:rsidR="00DC6104">
              <w:rPr>
                <w:rFonts w:eastAsia="Batang"/>
                <w:kern w:val="2"/>
                <w:sz w:val="22"/>
                <w:szCs w:val="22"/>
                <w:lang w:val="en-US" w:eastAsia="ko-KR"/>
              </w:rPr>
              <w:t xml:space="preserve">specimen </w:t>
            </w:r>
            <w:r>
              <w:rPr>
                <w:rFonts w:eastAsia="Batang"/>
                <w:kern w:val="2"/>
                <w:sz w:val="22"/>
                <w:szCs w:val="22"/>
                <w:lang w:val="en-US" w:eastAsia="ko-KR"/>
              </w:rPr>
              <w:t>spinner [1], and</w:t>
            </w:r>
            <w:r w:rsidR="00D70290" w:rsidRPr="00177439">
              <w:rPr>
                <w:rFonts w:eastAsia="Batang"/>
                <w:kern w:val="2"/>
                <w:sz w:val="22"/>
                <w:szCs w:val="22"/>
                <w:lang w:val="en-US" w:eastAsia="ko-KR"/>
              </w:rPr>
              <w:t xml:space="preserve"> </w:t>
            </w:r>
            <w:r>
              <w:rPr>
                <w:rFonts w:eastAsia="Batang"/>
                <w:kern w:val="2"/>
                <w:sz w:val="22"/>
                <w:szCs w:val="22"/>
                <w:lang w:val="en-US" w:eastAsia="ko-KR"/>
              </w:rPr>
              <w:t>have demonstrated that information about size distribution is also available</w:t>
            </w:r>
            <w:r w:rsidR="00F5202C">
              <w:rPr>
                <w:rFonts w:eastAsia="Batang"/>
                <w:kern w:val="2"/>
                <w:sz w:val="22"/>
                <w:szCs w:val="22"/>
                <w:lang w:val="en-US" w:eastAsia="ko-KR"/>
              </w:rPr>
              <w:t xml:space="preserve"> with </w:t>
            </w:r>
            <w:r>
              <w:rPr>
                <w:rFonts w:eastAsia="Batang"/>
                <w:kern w:val="2"/>
                <w:sz w:val="22"/>
                <w:szCs w:val="22"/>
                <w:lang w:val="en-US" w:eastAsia="ko-KR"/>
              </w:rPr>
              <w:t xml:space="preserve">synchrotron light source </w:t>
            </w:r>
            <w:r w:rsidR="00E07E1A">
              <w:rPr>
                <w:rFonts w:eastAsia="Batang"/>
                <w:kern w:val="2"/>
                <w:sz w:val="22"/>
                <w:szCs w:val="22"/>
                <w:lang w:val="en-US" w:eastAsia="ko-KR"/>
              </w:rPr>
              <w:t xml:space="preserve">and </w:t>
            </w:r>
            <w:r w:rsidR="00DC6104">
              <w:rPr>
                <w:rFonts w:eastAsia="Batang"/>
                <w:kern w:val="2"/>
                <w:sz w:val="22"/>
                <w:szCs w:val="22"/>
                <w:lang w:val="en-US" w:eastAsia="ko-KR"/>
              </w:rPr>
              <w:t xml:space="preserve">a </w:t>
            </w:r>
            <w:r w:rsidR="00E07E1A">
              <w:rPr>
                <w:rFonts w:eastAsia="Batang"/>
                <w:kern w:val="2"/>
                <w:sz w:val="22"/>
                <w:szCs w:val="22"/>
                <w:lang w:val="en-US" w:eastAsia="ko-KR"/>
              </w:rPr>
              <w:t>capillary spinner</w:t>
            </w:r>
            <w:r w:rsidR="00342179">
              <w:rPr>
                <w:rFonts w:eastAsia="Batang"/>
                <w:kern w:val="2"/>
                <w:sz w:val="22"/>
                <w:szCs w:val="22"/>
                <w:lang w:val="en-US" w:eastAsia="ko-KR"/>
              </w:rPr>
              <w:t xml:space="preserve"> [2]</w:t>
            </w:r>
            <w:r>
              <w:rPr>
                <w:rFonts w:eastAsia="Batang"/>
                <w:kern w:val="2"/>
                <w:sz w:val="22"/>
                <w:szCs w:val="22"/>
                <w:lang w:val="en-US" w:eastAsia="ko-KR"/>
              </w:rPr>
              <w:t xml:space="preserve">.  </w:t>
            </w:r>
            <w:r w:rsidR="00A64C02">
              <w:rPr>
                <w:rFonts w:eastAsia="Batang"/>
                <w:kern w:val="2"/>
                <w:sz w:val="22"/>
                <w:szCs w:val="22"/>
                <w:lang w:val="en-US" w:eastAsia="ko-KR"/>
              </w:rPr>
              <w:t>As the e</w:t>
            </w:r>
            <w:r w:rsidR="00E07E1A">
              <w:rPr>
                <w:rFonts w:eastAsia="Batang"/>
                <w:kern w:val="2"/>
                <w:sz w:val="22"/>
                <w:szCs w:val="22"/>
                <w:lang w:val="en-US" w:eastAsia="ko-KR"/>
              </w:rPr>
              <w:t xml:space="preserve">valuation of size distribution typically needs several thousands of data points to </w:t>
            </w:r>
            <w:r w:rsidR="00F1352B">
              <w:rPr>
                <w:rFonts w:eastAsia="Batang"/>
                <w:kern w:val="2"/>
                <w:sz w:val="22"/>
                <w:szCs w:val="22"/>
                <w:lang w:val="en-US" w:eastAsia="ko-KR"/>
              </w:rPr>
              <w:t>achieve</w:t>
            </w:r>
            <w:r w:rsidR="00E07E1A">
              <w:rPr>
                <w:rFonts w:eastAsia="Batang"/>
                <w:kern w:val="2"/>
                <w:sz w:val="22"/>
                <w:szCs w:val="22"/>
                <w:lang w:val="en-US" w:eastAsia="ko-KR"/>
              </w:rPr>
              <w:t xml:space="preserve"> satisfying statistical precision, it will take </w:t>
            </w:r>
            <w:r>
              <w:rPr>
                <w:rFonts w:eastAsia="Batang"/>
                <w:kern w:val="2"/>
                <w:sz w:val="22"/>
                <w:szCs w:val="22"/>
                <w:lang w:val="en-US" w:eastAsia="ko-KR"/>
              </w:rPr>
              <w:t>2h</w:t>
            </w:r>
            <w:r w:rsidR="00A64C02">
              <w:rPr>
                <w:rFonts w:eastAsia="Batang"/>
                <w:kern w:val="2"/>
                <w:sz w:val="22"/>
                <w:szCs w:val="22"/>
                <w:lang w:val="en-US" w:eastAsia="ko-KR"/>
              </w:rPr>
              <w:t xml:space="preserve"> for example</w:t>
            </w:r>
            <w:r w:rsidR="00E07E1A">
              <w:rPr>
                <w:rFonts w:eastAsia="Batang"/>
                <w:kern w:val="2"/>
                <w:sz w:val="22"/>
                <w:szCs w:val="22"/>
                <w:lang w:val="en-US" w:eastAsia="ko-KR"/>
              </w:rPr>
              <w:t xml:space="preserve">, when a zero-dimensional detector is used.  </w:t>
            </w:r>
            <w:r w:rsidR="00F1352B">
              <w:rPr>
                <w:rFonts w:eastAsia="Batang"/>
                <w:kern w:val="2"/>
                <w:sz w:val="22"/>
                <w:szCs w:val="22"/>
                <w:lang w:val="en-US" w:eastAsia="ko-KR"/>
              </w:rPr>
              <w:t>T</w:t>
            </w:r>
            <w:r w:rsidR="00766487">
              <w:rPr>
                <w:rFonts w:eastAsia="Batang"/>
                <w:kern w:val="2"/>
                <w:sz w:val="22"/>
                <w:szCs w:val="22"/>
                <w:lang w:val="en-US" w:eastAsia="ko-KR"/>
              </w:rPr>
              <w:t xml:space="preserve">he use of a two-dimensional </w:t>
            </w:r>
            <w:r w:rsidR="00A64C02">
              <w:rPr>
                <w:rFonts w:eastAsia="Batang"/>
                <w:kern w:val="2"/>
                <w:sz w:val="22"/>
                <w:szCs w:val="22"/>
                <w:lang w:val="en-US" w:eastAsia="ko-KR"/>
              </w:rPr>
              <w:t xml:space="preserve">(2D) </w:t>
            </w:r>
            <w:r w:rsidR="00766487">
              <w:rPr>
                <w:rFonts w:eastAsia="Batang"/>
                <w:kern w:val="2"/>
                <w:sz w:val="22"/>
                <w:szCs w:val="22"/>
                <w:lang w:val="en-US" w:eastAsia="ko-KR"/>
              </w:rPr>
              <w:t xml:space="preserve">detector for evaluation of size distribution </w:t>
            </w:r>
            <w:r w:rsidR="00F1352B">
              <w:rPr>
                <w:rFonts w:eastAsia="Batang"/>
                <w:kern w:val="2"/>
                <w:sz w:val="22"/>
                <w:szCs w:val="22"/>
                <w:lang w:val="en-US" w:eastAsia="ko-KR"/>
              </w:rPr>
              <w:t>is promising</w:t>
            </w:r>
            <w:r w:rsidR="00766487">
              <w:rPr>
                <w:rFonts w:eastAsia="Batang"/>
                <w:kern w:val="2"/>
                <w:sz w:val="22"/>
                <w:szCs w:val="22"/>
                <w:lang w:val="en-US" w:eastAsia="ko-KR"/>
              </w:rPr>
              <w:t>, because the corrugation of the intensit</w:t>
            </w:r>
            <w:r w:rsidR="00AC5E22">
              <w:rPr>
                <w:rFonts w:eastAsia="Batang"/>
                <w:kern w:val="2"/>
                <w:sz w:val="22"/>
                <w:szCs w:val="22"/>
                <w:lang w:val="en-US" w:eastAsia="ko-KR"/>
              </w:rPr>
              <w:t>ies</w:t>
            </w:r>
            <w:r w:rsidR="00766487">
              <w:rPr>
                <w:rFonts w:eastAsia="Batang"/>
                <w:kern w:val="2"/>
                <w:sz w:val="22"/>
                <w:szCs w:val="22"/>
                <w:lang w:val="en-US" w:eastAsia="ko-KR"/>
              </w:rPr>
              <w:t xml:space="preserve"> along the Debye-</w:t>
            </w:r>
            <w:proofErr w:type="spellStart"/>
            <w:r w:rsidR="00766487">
              <w:rPr>
                <w:rFonts w:eastAsia="Batang"/>
                <w:kern w:val="2"/>
                <w:sz w:val="22"/>
                <w:szCs w:val="22"/>
                <w:lang w:val="en-US" w:eastAsia="ko-KR"/>
              </w:rPr>
              <w:t>Scherrer</w:t>
            </w:r>
            <w:proofErr w:type="spellEnd"/>
            <w:r w:rsidR="00766487">
              <w:rPr>
                <w:rFonts w:eastAsia="Batang"/>
                <w:kern w:val="2"/>
                <w:sz w:val="22"/>
                <w:szCs w:val="22"/>
                <w:lang w:val="en-US" w:eastAsia="ko-KR"/>
              </w:rPr>
              <w:t xml:space="preserve"> rings is similar to that observed by </w:t>
            </w:r>
            <w:r w:rsidR="00F87C5E">
              <w:rPr>
                <w:rFonts w:eastAsia="Batang"/>
                <w:kern w:val="2"/>
                <w:sz w:val="22"/>
                <w:szCs w:val="22"/>
                <w:lang w:val="en-US" w:eastAsia="ko-KR"/>
              </w:rPr>
              <w:t xml:space="preserve">the </w:t>
            </w:r>
            <w:r w:rsidR="00766487">
              <w:rPr>
                <w:rFonts w:eastAsia="Batang"/>
                <w:kern w:val="2"/>
                <w:sz w:val="22"/>
                <w:szCs w:val="22"/>
                <w:lang w:val="en-US" w:eastAsia="ko-KR"/>
              </w:rPr>
              <w:t>spinner</w:t>
            </w:r>
            <w:r w:rsidR="00AC5E22">
              <w:rPr>
                <w:rFonts w:eastAsia="Batang"/>
                <w:kern w:val="2"/>
                <w:sz w:val="22"/>
                <w:szCs w:val="22"/>
                <w:lang w:val="en-US" w:eastAsia="ko-KR"/>
              </w:rPr>
              <w:t xml:space="preserve"> </w:t>
            </w:r>
            <w:r w:rsidR="00766487">
              <w:rPr>
                <w:rFonts w:eastAsia="Batang"/>
                <w:kern w:val="2"/>
                <w:sz w:val="22"/>
                <w:szCs w:val="22"/>
                <w:lang w:val="en-US" w:eastAsia="ko-KR"/>
              </w:rPr>
              <w:t>scan.  We have designed a new powder diffraction measurement system adopting a</w:t>
            </w:r>
            <w:r w:rsidR="005C44C8">
              <w:rPr>
                <w:rFonts w:eastAsia="Batang"/>
                <w:kern w:val="2"/>
                <w:sz w:val="22"/>
                <w:szCs w:val="22"/>
                <w:lang w:val="en-US" w:eastAsia="ko-KR"/>
              </w:rPr>
              <w:t xml:space="preserve"> flat </w:t>
            </w:r>
            <w:r w:rsidR="00A64C02">
              <w:rPr>
                <w:rFonts w:eastAsia="Batang"/>
                <w:kern w:val="2"/>
                <w:sz w:val="22"/>
                <w:szCs w:val="22"/>
                <w:lang w:val="en-US" w:eastAsia="ko-KR"/>
              </w:rPr>
              <w:t>2D</w:t>
            </w:r>
            <w:r w:rsidR="005C44C8">
              <w:rPr>
                <w:rFonts w:eastAsia="Batang"/>
                <w:kern w:val="2"/>
                <w:sz w:val="22"/>
                <w:szCs w:val="22"/>
                <w:lang w:val="en-US" w:eastAsia="ko-KR"/>
              </w:rPr>
              <w:t xml:space="preserve"> X-ray detector (</w:t>
            </w:r>
            <w:proofErr w:type="spellStart"/>
            <w:r w:rsidR="005C44C8">
              <w:rPr>
                <w:rFonts w:eastAsia="Batang"/>
                <w:kern w:val="2"/>
                <w:sz w:val="22"/>
                <w:szCs w:val="22"/>
                <w:lang w:val="en-US" w:eastAsia="ko-KR"/>
              </w:rPr>
              <w:t>Dectris</w:t>
            </w:r>
            <w:proofErr w:type="spellEnd"/>
            <w:r w:rsidR="005C44C8">
              <w:rPr>
                <w:rFonts w:eastAsia="Batang"/>
                <w:kern w:val="2"/>
                <w:sz w:val="22"/>
                <w:szCs w:val="22"/>
                <w:lang w:val="en-US" w:eastAsia="ko-KR"/>
              </w:rPr>
              <w:t>, PILATUS-100K) and installed at the end station of the beam line BL5S2 at Aichi Synchrotron Radiation Center (</w:t>
            </w:r>
            <w:proofErr w:type="spellStart"/>
            <w:r w:rsidR="005C44C8">
              <w:rPr>
                <w:rFonts w:eastAsia="Batang"/>
                <w:kern w:val="2"/>
                <w:sz w:val="22"/>
                <w:szCs w:val="22"/>
                <w:lang w:val="en-US" w:eastAsia="ko-KR"/>
              </w:rPr>
              <w:t>AichiSR</w:t>
            </w:r>
            <w:proofErr w:type="spellEnd"/>
            <w:r w:rsidR="005C44C8">
              <w:rPr>
                <w:rFonts w:eastAsia="Batang"/>
                <w:kern w:val="2"/>
                <w:sz w:val="22"/>
                <w:szCs w:val="22"/>
                <w:lang w:val="en-US" w:eastAsia="ko-KR"/>
              </w:rPr>
              <w:t xml:space="preserve">) in </w:t>
            </w:r>
            <w:proofErr w:type="spellStart"/>
            <w:r w:rsidR="005C44C8">
              <w:rPr>
                <w:rFonts w:eastAsia="Batang"/>
                <w:kern w:val="2"/>
                <w:sz w:val="22"/>
                <w:szCs w:val="22"/>
                <w:lang w:val="en-US" w:eastAsia="ko-KR"/>
              </w:rPr>
              <w:t>Seto</w:t>
            </w:r>
            <w:proofErr w:type="spellEnd"/>
            <w:r w:rsidR="005C44C8">
              <w:rPr>
                <w:rFonts w:eastAsia="Batang"/>
                <w:kern w:val="2"/>
                <w:sz w:val="22"/>
                <w:szCs w:val="22"/>
                <w:lang w:val="en-US" w:eastAsia="ko-KR"/>
              </w:rPr>
              <w:t xml:space="preserve">, Japan.    </w:t>
            </w:r>
          </w:p>
          <w:p w14:paraId="54B35D39" w14:textId="77777777" w:rsidR="00600C3B" w:rsidRPr="00600C3B" w:rsidRDefault="00E620C5" w:rsidP="00D70290">
            <w:pPr>
              <w:pStyle w:val="a5"/>
              <w:spacing w:beforeLines="0" w:line="240" w:lineRule="auto"/>
              <w:ind w:right="0"/>
              <w:rPr>
                <w:rFonts w:eastAsia="ＭＳ 明朝"/>
                <w:kern w:val="2"/>
                <w:sz w:val="22"/>
                <w:szCs w:val="22"/>
                <w:lang w:val="en-US" w:eastAsia="ja-JP"/>
              </w:rPr>
            </w:pPr>
            <w:r>
              <w:rPr>
                <w:rFonts w:eastAsia="Batang"/>
                <w:kern w:val="2"/>
                <w:sz w:val="22"/>
                <w:szCs w:val="22"/>
                <w:lang w:val="en-US" w:eastAsia="ko-KR"/>
              </w:rPr>
              <w:t>W</w:t>
            </w:r>
            <w:r w:rsidR="005C44C8">
              <w:rPr>
                <w:rFonts w:eastAsia="Batang"/>
                <w:kern w:val="2"/>
                <w:sz w:val="22"/>
                <w:szCs w:val="22"/>
                <w:lang w:val="en-US" w:eastAsia="ko-KR"/>
              </w:rPr>
              <w:t xml:space="preserve">e prepared 3 different quartz powder samples sieved by a sedimentation method, the Stokes diameters of which are </w:t>
            </w:r>
            <w:r w:rsidR="00600C3B">
              <w:rPr>
                <w:rFonts w:eastAsia="Batang"/>
                <w:kern w:val="2"/>
                <w:sz w:val="22"/>
                <w:szCs w:val="22"/>
                <w:lang w:val="en-US" w:eastAsia="ko-KR"/>
              </w:rPr>
              <w:t xml:space="preserve">(a) </w:t>
            </w:r>
            <w:r w:rsidR="005C44C8">
              <w:rPr>
                <w:rFonts w:eastAsia="Batang"/>
                <w:kern w:val="2"/>
                <w:sz w:val="22"/>
                <w:szCs w:val="22"/>
                <w:lang w:val="en-US" w:eastAsia="ko-KR"/>
              </w:rPr>
              <w:t xml:space="preserve">3–7, </w:t>
            </w:r>
            <w:r w:rsidR="00600C3B">
              <w:rPr>
                <w:rFonts w:eastAsia="Batang"/>
                <w:kern w:val="2"/>
                <w:sz w:val="22"/>
                <w:szCs w:val="22"/>
                <w:lang w:val="en-US" w:eastAsia="ko-KR"/>
              </w:rPr>
              <w:t xml:space="preserve">(b) </w:t>
            </w:r>
            <w:r w:rsidR="005C44C8">
              <w:rPr>
                <w:rFonts w:eastAsia="Batang"/>
                <w:kern w:val="2"/>
                <w:sz w:val="22"/>
                <w:szCs w:val="22"/>
                <w:lang w:val="en-US" w:eastAsia="ko-KR"/>
              </w:rPr>
              <w:t xml:space="preserve">8–12 and </w:t>
            </w:r>
            <w:r w:rsidR="00600C3B">
              <w:rPr>
                <w:rFonts w:eastAsia="Batang"/>
                <w:kern w:val="2"/>
                <w:sz w:val="22"/>
                <w:szCs w:val="22"/>
                <w:lang w:val="en-US" w:eastAsia="ko-KR"/>
              </w:rPr>
              <w:t xml:space="preserve">(c) </w:t>
            </w:r>
            <w:r w:rsidR="005C44C8">
              <w:rPr>
                <w:rFonts w:eastAsia="Batang"/>
                <w:kern w:val="2"/>
                <w:sz w:val="22"/>
                <w:szCs w:val="22"/>
                <w:lang w:val="en-US" w:eastAsia="ko-KR"/>
              </w:rPr>
              <w:t xml:space="preserve">18–22 </w:t>
            </w:r>
            <w:proofErr w:type="spellStart"/>
            <w:r w:rsidR="00600C3B" w:rsidRPr="00600C3B">
              <w:rPr>
                <w:rFonts w:eastAsia="Batang"/>
                <w:kern w:val="2"/>
                <w:sz w:val="22"/>
                <w:szCs w:val="22"/>
                <w:lang w:val="en-US" w:eastAsia="ja-JP"/>
              </w:rPr>
              <w:t>μ</w:t>
            </w:r>
            <w:r w:rsidR="005C44C8">
              <w:rPr>
                <w:rFonts w:eastAsia="ＭＳ 明朝" w:cs="ＭＳ 明朝"/>
                <w:kern w:val="2"/>
                <w:sz w:val="22"/>
                <w:szCs w:val="22"/>
                <w:lang w:val="en-US" w:eastAsia="ja-JP"/>
              </w:rPr>
              <w:t>m</w:t>
            </w:r>
            <w:proofErr w:type="spellEnd"/>
            <w:r w:rsidR="005C44C8">
              <w:rPr>
                <w:rFonts w:eastAsia="ＭＳ 明朝" w:cs="ＭＳ 明朝"/>
                <w:kern w:val="2"/>
                <w:sz w:val="22"/>
                <w:szCs w:val="22"/>
                <w:lang w:val="en-US" w:eastAsia="ja-JP"/>
              </w:rPr>
              <w:t xml:space="preserve">.  The powder samples were </w:t>
            </w:r>
            <w:r w:rsidR="00600C3B">
              <w:rPr>
                <w:rFonts w:eastAsia="ＭＳ 明朝" w:cs="ＭＳ 明朝"/>
                <w:kern w:val="2"/>
                <w:sz w:val="22"/>
                <w:szCs w:val="22"/>
                <w:lang w:val="en-US" w:eastAsia="ja-JP"/>
              </w:rPr>
              <w:t>fil</w:t>
            </w:r>
            <w:r w:rsidR="00132E0A">
              <w:rPr>
                <w:rFonts w:eastAsia="ＭＳ 明朝" w:cs="ＭＳ 明朝"/>
                <w:kern w:val="2"/>
                <w:sz w:val="22"/>
                <w:szCs w:val="22"/>
                <w:lang w:val="en-US" w:eastAsia="ja-JP"/>
              </w:rPr>
              <w:t>l</w:t>
            </w:r>
            <w:r w:rsidR="00600C3B">
              <w:rPr>
                <w:rFonts w:eastAsia="ＭＳ 明朝" w:cs="ＭＳ 明朝"/>
                <w:kern w:val="2"/>
                <w:sz w:val="22"/>
                <w:szCs w:val="22"/>
                <w:lang w:val="en-US" w:eastAsia="ja-JP"/>
              </w:rPr>
              <w:t xml:space="preserve">ed into </w:t>
            </w:r>
            <w:proofErr w:type="spellStart"/>
            <w:r w:rsidR="00600C3B">
              <w:rPr>
                <w:rFonts w:eastAsia="ＭＳ 明朝" w:cs="ＭＳ 明朝"/>
                <w:kern w:val="2"/>
                <w:sz w:val="22"/>
                <w:szCs w:val="22"/>
                <w:lang w:val="en-US" w:eastAsia="ja-JP"/>
              </w:rPr>
              <w:t>Lindemann</w:t>
            </w:r>
            <w:proofErr w:type="spellEnd"/>
            <w:r w:rsidR="00600C3B">
              <w:rPr>
                <w:rFonts w:eastAsia="ＭＳ 明朝" w:cs="ＭＳ 明朝"/>
                <w:kern w:val="2"/>
                <w:sz w:val="22"/>
                <w:szCs w:val="22"/>
                <w:lang w:val="en-US" w:eastAsia="ja-JP"/>
              </w:rPr>
              <w:t xml:space="preserve"> glass capillary of 0.1 mm</w:t>
            </w:r>
            <w:r w:rsidR="00600C3B">
              <w:rPr>
                <w:rFonts w:eastAsia="ＭＳ 明朝"/>
                <w:kern w:val="2"/>
                <w:sz w:val="22"/>
                <w:szCs w:val="22"/>
                <w:lang w:val="en-US" w:eastAsia="ja-JP"/>
              </w:rPr>
              <w:t xml:space="preserve"> in diameter.  Figure 1 shows the powder diffraction figures </w:t>
            </w:r>
            <w:r w:rsidR="00132E0A">
              <w:rPr>
                <w:rFonts w:eastAsia="ＭＳ 明朝"/>
                <w:kern w:val="2"/>
                <w:sz w:val="22"/>
                <w:szCs w:val="22"/>
                <w:lang w:val="en-US" w:eastAsia="ja-JP"/>
              </w:rPr>
              <w:t xml:space="preserve">taken </w:t>
            </w:r>
            <w:r w:rsidR="00600C3B">
              <w:rPr>
                <w:rFonts w:eastAsia="ＭＳ 明朝"/>
                <w:kern w:val="2"/>
                <w:sz w:val="22"/>
                <w:szCs w:val="22"/>
                <w:lang w:val="en-US" w:eastAsia="ja-JP"/>
              </w:rPr>
              <w:t>from the stationary capillary s</w:t>
            </w:r>
            <w:r w:rsidR="00132E0A">
              <w:rPr>
                <w:rFonts w:eastAsia="ＭＳ 明朝"/>
                <w:kern w:val="2"/>
                <w:sz w:val="22"/>
                <w:szCs w:val="22"/>
                <w:lang w:val="en-US" w:eastAsia="ja-JP"/>
              </w:rPr>
              <w:t>pecimens</w:t>
            </w:r>
            <w:r w:rsidR="00600C3B">
              <w:rPr>
                <w:rFonts w:eastAsia="ＭＳ 明朝"/>
                <w:kern w:val="2"/>
                <w:sz w:val="22"/>
                <w:szCs w:val="22"/>
                <w:lang w:val="en-US" w:eastAsia="ja-JP"/>
              </w:rPr>
              <w:t>.  The center of the detector area (83.8 x 33.5 mm</w:t>
            </w:r>
            <w:r w:rsidR="00600C3B" w:rsidRPr="004E5BF3">
              <w:rPr>
                <w:rFonts w:eastAsia="ＭＳ 明朝"/>
                <w:kern w:val="2"/>
                <w:sz w:val="22"/>
                <w:szCs w:val="22"/>
                <w:vertAlign w:val="superscript"/>
                <w:lang w:val="en-US" w:eastAsia="ja-JP"/>
              </w:rPr>
              <w:t>2</w:t>
            </w:r>
            <w:r w:rsidR="00600C3B">
              <w:rPr>
                <w:rFonts w:eastAsia="ＭＳ 明朝"/>
                <w:kern w:val="2"/>
                <w:sz w:val="22"/>
                <w:szCs w:val="22"/>
                <w:lang w:val="en-US" w:eastAsia="ja-JP"/>
              </w:rPr>
              <w:t>) is located at the angle of 2</w:t>
            </w:r>
            <w:r w:rsidR="00600C3B" w:rsidRPr="004E5BF3">
              <w:rPr>
                <w:rFonts w:eastAsia="ＭＳ 明朝"/>
                <w:i/>
                <w:kern w:val="2"/>
                <w:sz w:val="22"/>
                <w:szCs w:val="22"/>
                <w:lang w:val="en-US" w:eastAsia="ja-JP"/>
              </w:rPr>
              <w:t>θ</w:t>
            </w:r>
            <w:r w:rsidR="00600C3B">
              <w:rPr>
                <w:rFonts w:eastAsia="ＭＳ 明朝"/>
                <w:kern w:val="2"/>
                <w:sz w:val="22"/>
                <w:szCs w:val="22"/>
                <w:lang w:val="en-US" w:eastAsia="ja-JP"/>
              </w:rPr>
              <w:t xml:space="preserve"> = 12.5º and 340 mm from the specimen</w:t>
            </w:r>
            <w:r w:rsidR="00DC6104">
              <w:rPr>
                <w:rFonts w:eastAsia="ＭＳ 明朝"/>
                <w:kern w:val="2"/>
                <w:sz w:val="22"/>
                <w:szCs w:val="22"/>
                <w:lang w:val="en-US" w:eastAsia="ja-JP"/>
              </w:rPr>
              <w:t xml:space="preserve"> center</w:t>
            </w:r>
            <w:r w:rsidR="00600C3B">
              <w:rPr>
                <w:rFonts w:eastAsia="ＭＳ 明朝"/>
                <w:kern w:val="2"/>
                <w:sz w:val="22"/>
                <w:szCs w:val="22"/>
                <w:lang w:val="en-US" w:eastAsia="ja-JP"/>
              </w:rPr>
              <w:t xml:space="preserve">.  The contrast of the figure is </w:t>
            </w:r>
            <w:r w:rsidR="00342179">
              <w:rPr>
                <w:rFonts w:eastAsia="ＭＳ 明朝"/>
                <w:kern w:val="2"/>
                <w:sz w:val="22"/>
                <w:szCs w:val="22"/>
                <w:lang w:val="en-US" w:eastAsia="ja-JP"/>
              </w:rPr>
              <w:t xml:space="preserve">made </w:t>
            </w:r>
            <w:r w:rsidR="00600C3B">
              <w:rPr>
                <w:rFonts w:eastAsia="ＭＳ 明朝"/>
                <w:kern w:val="2"/>
                <w:sz w:val="22"/>
                <w:szCs w:val="22"/>
                <w:lang w:val="en-US" w:eastAsia="ja-JP"/>
              </w:rPr>
              <w:t xml:space="preserve">proportional to the </w:t>
            </w:r>
            <w:r w:rsidR="004E5BF3">
              <w:rPr>
                <w:rFonts w:eastAsia="ＭＳ 明朝"/>
                <w:kern w:val="2"/>
                <w:sz w:val="22"/>
                <w:szCs w:val="22"/>
                <w:lang w:val="en-US" w:eastAsia="ja-JP"/>
              </w:rPr>
              <w:t>logarithm of the photon recorded with each pixel.  Figure 1 clearly shows that the continuity of the Debye-</w:t>
            </w:r>
            <w:proofErr w:type="spellStart"/>
            <w:r w:rsidR="004E5BF3">
              <w:rPr>
                <w:rFonts w:eastAsia="ＭＳ 明朝"/>
                <w:kern w:val="2"/>
                <w:sz w:val="22"/>
                <w:szCs w:val="22"/>
                <w:lang w:val="en-US" w:eastAsia="ja-JP"/>
              </w:rPr>
              <w:t>Scherrer</w:t>
            </w:r>
            <w:proofErr w:type="spellEnd"/>
            <w:r w:rsidR="004E5BF3">
              <w:rPr>
                <w:rFonts w:eastAsia="ＭＳ 明朝"/>
                <w:kern w:val="2"/>
                <w:sz w:val="22"/>
                <w:szCs w:val="22"/>
                <w:lang w:val="en-US" w:eastAsia="ja-JP"/>
              </w:rPr>
              <w:t xml:space="preserve"> rings </w:t>
            </w:r>
            <w:r w:rsidR="00A64C02">
              <w:rPr>
                <w:rFonts w:eastAsia="ＭＳ 明朝"/>
                <w:kern w:val="2"/>
                <w:sz w:val="22"/>
                <w:szCs w:val="22"/>
                <w:lang w:val="en-US" w:eastAsia="ja-JP"/>
              </w:rPr>
              <w:t>is</w:t>
            </w:r>
            <w:r w:rsidR="004E5BF3">
              <w:rPr>
                <w:rFonts w:eastAsia="ＭＳ 明朝"/>
                <w:kern w:val="2"/>
                <w:sz w:val="22"/>
                <w:szCs w:val="22"/>
                <w:lang w:val="en-US" w:eastAsia="ja-JP"/>
              </w:rPr>
              <w:t xml:space="preserve"> lost and rather spotty figures are observed for the coarse powder specimens.  This behavior is natural</w:t>
            </w:r>
            <w:r w:rsidR="00A64C02">
              <w:rPr>
                <w:rFonts w:eastAsia="ＭＳ 明朝"/>
                <w:kern w:val="2"/>
                <w:sz w:val="22"/>
                <w:szCs w:val="22"/>
                <w:lang w:val="en-US" w:eastAsia="ja-JP"/>
              </w:rPr>
              <w:t>l</w:t>
            </w:r>
            <w:r w:rsidR="004E5BF3">
              <w:rPr>
                <w:rFonts w:eastAsia="ＭＳ 明朝"/>
                <w:kern w:val="2"/>
                <w:sz w:val="22"/>
                <w:szCs w:val="22"/>
                <w:lang w:val="en-US" w:eastAsia="ja-JP"/>
              </w:rPr>
              <w:t>y explained by fewer number</w:t>
            </w:r>
            <w:r w:rsidR="00F5202C">
              <w:rPr>
                <w:rFonts w:eastAsia="ＭＳ 明朝"/>
                <w:kern w:val="2"/>
                <w:sz w:val="22"/>
                <w:szCs w:val="22"/>
                <w:lang w:val="en-US" w:eastAsia="ja-JP"/>
              </w:rPr>
              <w:t>s</w:t>
            </w:r>
            <w:r w:rsidR="004E5BF3">
              <w:rPr>
                <w:rFonts w:eastAsia="ＭＳ 明朝"/>
                <w:kern w:val="2"/>
                <w:sz w:val="22"/>
                <w:szCs w:val="22"/>
                <w:lang w:val="en-US" w:eastAsia="ja-JP"/>
              </w:rPr>
              <w:t xml:space="preserve"> of particles that can satisfy the diffraction condition in coarse</w:t>
            </w:r>
            <w:r w:rsidR="00DC6104">
              <w:rPr>
                <w:rFonts w:eastAsia="ＭＳ 明朝"/>
                <w:kern w:val="2"/>
                <w:sz w:val="22"/>
                <w:szCs w:val="22"/>
                <w:lang w:val="en-US" w:eastAsia="ja-JP"/>
              </w:rPr>
              <w:t>r</w:t>
            </w:r>
            <w:r w:rsidR="004E5BF3">
              <w:rPr>
                <w:rFonts w:eastAsia="ＭＳ 明朝"/>
                <w:kern w:val="2"/>
                <w:sz w:val="22"/>
                <w:szCs w:val="22"/>
                <w:lang w:val="en-US" w:eastAsia="ja-JP"/>
              </w:rPr>
              <w:t xml:space="preserve"> powder</w:t>
            </w:r>
            <w:r>
              <w:rPr>
                <w:rFonts w:eastAsia="ＭＳ 明朝"/>
                <w:kern w:val="2"/>
                <w:sz w:val="22"/>
                <w:szCs w:val="22"/>
                <w:lang w:val="en-US" w:eastAsia="ja-JP"/>
              </w:rPr>
              <w:t xml:space="preserve">.  It should be assumed that the number of statistically independent data is </w:t>
            </w:r>
            <w:r w:rsidR="00F5202C">
              <w:rPr>
                <w:rFonts w:eastAsia="ＭＳ 明朝"/>
                <w:kern w:val="2"/>
                <w:sz w:val="22"/>
                <w:szCs w:val="22"/>
                <w:lang w:val="en-US" w:eastAsia="ja-JP"/>
              </w:rPr>
              <w:t>close</w:t>
            </w:r>
            <w:r>
              <w:rPr>
                <w:rFonts w:eastAsia="ＭＳ 明朝"/>
                <w:kern w:val="2"/>
                <w:sz w:val="22"/>
                <w:szCs w:val="22"/>
                <w:lang w:val="en-US" w:eastAsia="ja-JP"/>
              </w:rPr>
              <w:t xml:space="preserve"> to the number of diffraction spots, even if the number of pixels of </w:t>
            </w:r>
            <w:r w:rsidR="00DC6104">
              <w:rPr>
                <w:rFonts w:eastAsia="ＭＳ 明朝"/>
                <w:kern w:val="2"/>
                <w:sz w:val="22"/>
                <w:szCs w:val="22"/>
                <w:lang w:val="en-US" w:eastAsia="ja-JP"/>
              </w:rPr>
              <w:t>the detector</w:t>
            </w:r>
            <w:r>
              <w:rPr>
                <w:rFonts w:eastAsia="ＭＳ 明朝"/>
                <w:kern w:val="2"/>
                <w:sz w:val="22"/>
                <w:szCs w:val="22"/>
                <w:lang w:val="en-US" w:eastAsia="ja-JP"/>
              </w:rPr>
              <w:t xml:space="preserve"> is 195 pixels along the horizontal direction.  </w:t>
            </w:r>
          </w:p>
          <w:p w14:paraId="000C3EB5" w14:textId="77777777" w:rsidR="00D70290" w:rsidRPr="00177439" w:rsidRDefault="007528CD" w:rsidP="00D70290">
            <w:pPr>
              <w:pStyle w:val="a5"/>
              <w:spacing w:beforeLines="0" w:line="240" w:lineRule="auto"/>
              <w:ind w:right="0"/>
              <w:rPr>
                <w:kern w:val="2"/>
                <w:sz w:val="22"/>
                <w:szCs w:val="22"/>
                <w:lang w:val="en-US"/>
              </w:rPr>
            </w:pPr>
            <w:r>
              <w:rPr>
                <w:noProof/>
                <w:lang w:val="en-US" w:eastAsia="ja-JP"/>
              </w:rPr>
              <w:drawing>
                <wp:anchor distT="0" distB="0" distL="114300" distR="114300" simplePos="0" relativeHeight="251657216" behindDoc="0" locked="0" layoutInCell="1" allowOverlap="1" wp14:anchorId="43A7B753" wp14:editId="1430C585">
                  <wp:simplePos x="0" y="0"/>
                  <wp:positionH relativeFrom="column">
                    <wp:posOffset>3190240</wp:posOffset>
                  </wp:positionH>
                  <wp:positionV relativeFrom="paragraph">
                    <wp:posOffset>-398145</wp:posOffset>
                  </wp:positionV>
                  <wp:extent cx="2564765" cy="181356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4765" cy="181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E620C5">
              <w:rPr>
                <w:rFonts w:eastAsia="ＭＳ 明朝" w:cs="ＭＳ 明朝"/>
                <w:kern w:val="2"/>
                <w:sz w:val="22"/>
                <w:szCs w:val="22"/>
                <w:lang w:val="en-US" w:eastAsia="ja-JP"/>
              </w:rPr>
              <w:t xml:space="preserve">We have then record 12 figures for each specimen by step-wise rotation of the capillary spinner attachment to </w:t>
            </w:r>
            <w:r w:rsidR="00C83A8A">
              <w:rPr>
                <w:rFonts w:eastAsia="ＭＳ 明朝" w:cs="ＭＳ 明朝"/>
                <w:kern w:val="2"/>
                <w:sz w:val="22"/>
                <w:szCs w:val="22"/>
                <w:lang w:val="en-US" w:eastAsia="ja-JP"/>
              </w:rPr>
              <w:t>increase the effective number of data</w:t>
            </w:r>
            <w:r w:rsidR="00E620C5">
              <w:rPr>
                <w:rFonts w:eastAsia="ＭＳ 明朝" w:cs="ＭＳ 明朝"/>
                <w:kern w:val="2"/>
                <w:sz w:val="22"/>
                <w:szCs w:val="22"/>
                <w:lang w:val="en-US" w:eastAsia="ja-JP"/>
              </w:rPr>
              <w:t xml:space="preserve">, and also </w:t>
            </w:r>
            <w:r w:rsidR="00C83A8A">
              <w:rPr>
                <w:rFonts w:eastAsia="ＭＳ 明朝" w:cs="ＭＳ 明朝"/>
                <w:kern w:val="2"/>
                <w:sz w:val="22"/>
                <w:szCs w:val="22"/>
                <w:lang w:val="en-US" w:eastAsia="ja-JP"/>
              </w:rPr>
              <w:t xml:space="preserve">record 12 snap shots for the powder (c) by continuously rotating the specimen to increase the number of crystallites that can contribute to the observed diffraction intensities.  The results of analyses on the </w:t>
            </w:r>
            <w:r w:rsidR="00A64C02">
              <w:rPr>
                <w:rFonts w:eastAsia="ＭＳ 明朝" w:cs="ＭＳ 明朝"/>
                <w:kern w:val="2"/>
                <w:sz w:val="22"/>
                <w:szCs w:val="22"/>
                <w:lang w:val="en-US" w:eastAsia="ja-JP"/>
              </w:rPr>
              <w:t>2D</w:t>
            </w:r>
            <w:r w:rsidR="00C83A8A">
              <w:rPr>
                <w:rFonts w:eastAsia="ＭＳ 明朝" w:cs="ＭＳ 明朝"/>
                <w:kern w:val="2"/>
                <w:sz w:val="22"/>
                <w:szCs w:val="22"/>
                <w:lang w:val="en-US" w:eastAsia="ja-JP"/>
              </w:rPr>
              <w:t xml:space="preserve"> powder diffraction intensity data set</w:t>
            </w:r>
            <w:r w:rsidR="00A64C02">
              <w:rPr>
                <w:rFonts w:eastAsia="ＭＳ 明朝" w:cs="ＭＳ 明朝"/>
                <w:kern w:val="2"/>
                <w:sz w:val="22"/>
                <w:szCs w:val="22"/>
                <w:lang w:val="en-US" w:eastAsia="ja-JP"/>
              </w:rPr>
              <w:t>s</w:t>
            </w:r>
            <w:r w:rsidR="00C83A8A">
              <w:rPr>
                <w:rFonts w:eastAsia="ＭＳ 明朝" w:cs="ＭＳ 明朝"/>
                <w:kern w:val="2"/>
                <w:sz w:val="22"/>
                <w:szCs w:val="22"/>
                <w:lang w:val="en-US" w:eastAsia="ja-JP"/>
              </w:rPr>
              <w:t xml:space="preserve"> will be presented. </w:t>
            </w:r>
          </w:p>
          <w:p w14:paraId="70CE67EA" w14:textId="77777777" w:rsidR="00D70290" w:rsidRPr="00D70290" w:rsidRDefault="00D70290" w:rsidP="00D70290">
            <w:pPr>
              <w:ind w:right="-54"/>
              <w:rPr>
                <w:rFonts w:ascii="Times New Roman" w:hAnsi="Times New Roman"/>
                <w:color w:val="000000"/>
                <w:sz w:val="22"/>
              </w:rPr>
            </w:pPr>
          </w:p>
          <w:p w14:paraId="397564C2" w14:textId="77777777" w:rsidR="00D70290" w:rsidRPr="00D70290" w:rsidRDefault="007528CD" w:rsidP="00D70290">
            <w:pPr>
              <w:ind w:right="-54"/>
              <w:rPr>
                <w:rFonts w:ascii="Times New Roman" w:hAnsi="Times New Roman"/>
                <w:b/>
                <w:color w:val="000000"/>
                <w:sz w:val="22"/>
              </w:rPr>
            </w:pPr>
            <w:r>
              <w:rPr>
                <w:noProof/>
                <w:lang w:eastAsia="ja-JP"/>
              </w:rPr>
              <mc:AlternateContent>
                <mc:Choice Requires="wps">
                  <w:drawing>
                    <wp:anchor distT="0" distB="0" distL="114300" distR="114300" simplePos="0" relativeHeight="251658240" behindDoc="0" locked="0" layoutInCell="1" allowOverlap="1" wp14:anchorId="2E16350B" wp14:editId="24FDA38A">
                      <wp:simplePos x="0" y="0"/>
                      <wp:positionH relativeFrom="column">
                        <wp:posOffset>3229610</wp:posOffset>
                      </wp:positionH>
                      <wp:positionV relativeFrom="paragraph">
                        <wp:posOffset>-338455</wp:posOffset>
                      </wp:positionV>
                      <wp:extent cx="2510790" cy="472440"/>
                      <wp:effectExtent l="3810" t="4445" r="0" b="5715"/>
                      <wp:wrapTight wrapText="bothSides">
                        <wp:wrapPolygon edited="0">
                          <wp:start x="0" y="0"/>
                          <wp:lineTo x="21600" y="0"/>
                          <wp:lineTo x="21600" y="21600"/>
                          <wp:lineTo x="0" y="2160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A88A0" w14:textId="77777777" w:rsidR="00DC6104" w:rsidRPr="00F87C5E" w:rsidRDefault="00DC6104" w:rsidP="00F87C5E">
                                  <w:pPr>
                                    <w:ind w:right="-54"/>
                                    <w:rPr>
                                      <w:rFonts w:ascii="Times New Roman" w:hAnsi="Times New Roman"/>
                                      <w:szCs w:val="20"/>
                                    </w:rPr>
                                  </w:pPr>
                                  <w:r w:rsidRPr="00F87C5E">
                                    <w:rPr>
                                      <w:rFonts w:ascii="Times New Roman" w:hAnsi="Times New Roman"/>
                                      <w:szCs w:val="20"/>
                                    </w:rPr>
                                    <w:t xml:space="preserve">Fig. </w:t>
                                  </w:r>
                                  <w:proofErr w:type="gramStart"/>
                                  <w:r w:rsidRPr="00F87C5E">
                                    <w:rPr>
                                      <w:rFonts w:ascii="Times New Roman" w:hAnsi="Times New Roman"/>
                                      <w:szCs w:val="20"/>
                                    </w:rPr>
                                    <w:t>1  Diffraction</w:t>
                                  </w:r>
                                  <w:proofErr w:type="gramEnd"/>
                                  <w:r w:rsidRPr="00F87C5E">
                                    <w:rPr>
                                      <w:rFonts w:ascii="Times New Roman" w:hAnsi="Times New Roman"/>
                                      <w:szCs w:val="20"/>
                                    </w:rPr>
                                    <w:t xml:space="preserve"> </w:t>
                                  </w:r>
                                  <w:r>
                                    <w:rPr>
                                      <w:rFonts w:ascii="Times New Roman" w:hAnsi="Times New Roman"/>
                                      <w:szCs w:val="20"/>
                                    </w:rPr>
                                    <w:t>figures</w:t>
                                  </w:r>
                                  <w:r w:rsidRPr="00F87C5E">
                                    <w:rPr>
                                      <w:rFonts w:ascii="Times New Roman" w:hAnsi="Times New Roman"/>
                                      <w:szCs w:val="20"/>
                                    </w:rPr>
                                    <w:t xml:space="preserve"> from quartz powder (a), (b) and (c)</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6350B" id="Text_x0020_Box_x0020_3" o:spid="_x0000_s1027" type="#_x0000_t202" style="position:absolute;left:0;text-align:left;margin-left:254.3pt;margin-top:-26.6pt;width:197.7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" filled="f" stroked="f">
                      <v:textbox inset=",7.2pt,,7.2pt">
                        <w:txbxContent>
                          <w:p w14:paraId="769A88A0" w14:textId="77777777" w:rsidR="00DC6104" w:rsidRPr="00F87C5E" w:rsidRDefault="00DC6104" w:rsidP="00F87C5E">
                            <w:pPr>
                              <w:ind w:right="-54"/>
                              <w:rPr>
                                <w:rFonts w:ascii="Times New Roman" w:hAnsi="Times New Roman"/>
                                <w:szCs w:val="20"/>
                              </w:rPr>
                            </w:pPr>
                            <w:r w:rsidRPr="00F87C5E">
                              <w:rPr>
                                <w:rFonts w:ascii="Times New Roman" w:hAnsi="Times New Roman"/>
                                <w:szCs w:val="20"/>
                              </w:rPr>
                              <w:t xml:space="preserve">Fig. </w:t>
                            </w:r>
                            <w:proofErr w:type="gramStart"/>
                            <w:r w:rsidRPr="00F87C5E">
                              <w:rPr>
                                <w:rFonts w:ascii="Times New Roman" w:hAnsi="Times New Roman"/>
                                <w:szCs w:val="20"/>
                              </w:rPr>
                              <w:t>1  Diffraction</w:t>
                            </w:r>
                            <w:proofErr w:type="gramEnd"/>
                            <w:r w:rsidRPr="00F87C5E">
                              <w:rPr>
                                <w:rFonts w:ascii="Times New Roman" w:hAnsi="Times New Roman"/>
                                <w:szCs w:val="20"/>
                              </w:rPr>
                              <w:t xml:space="preserve"> </w:t>
                            </w:r>
                            <w:r>
                              <w:rPr>
                                <w:rFonts w:ascii="Times New Roman" w:hAnsi="Times New Roman"/>
                                <w:szCs w:val="20"/>
                              </w:rPr>
                              <w:t>figures</w:t>
                            </w:r>
                            <w:r w:rsidRPr="00F87C5E">
                              <w:rPr>
                                <w:rFonts w:ascii="Times New Roman" w:hAnsi="Times New Roman"/>
                                <w:szCs w:val="20"/>
                              </w:rPr>
                              <w:t xml:space="preserve"> from quartz powder (a), (b) and (c)</w:t>
                            </w:r>
                          </w:p>
                        </w:txbxContent>
                      </v:textbox>
                      <w10:wrap type="tight"/>
                    </v:shape>
                  </w:pict>
                </mc:Fallback>
              </mc:AlternateContent>
            </w:r>
            <w:r w:rsidR="00D70290" w:rsidRPr="00D70290">
              <w:rPr>
                <w:rFonts w:ascii="Times New Roman" w:hAnsi="Times New Roman"/>
                <w:b/>
                <w:color w:val="000000"/>
                <w:sz w:val="22"/>
              </w:rPr>
              <w:t>References</w:t>
            </w:r>
          </w:p>
          <w:p w14:paraId="67A74B8D" w14:textId="77777777" w:rsidR="00D70290" w:rsidRPr="00D70290" w:rsidRDefault="00C83A8A" w:rsidP="00D70290">
            <w:pPr>
              <w:pStyle w:val="references"/>
              <w:rPr>
                <w:sz w:val="22"/>
                <w:szCs w:val="22"/>
              </w:rPr>
            </w:pPr>
            <w:r>
              <w:rPr>
                <w:sz w:val="22"/>
                <w:szCs w:val="22"/>
                <w:lang w:eastAsia="ko-KR"/>
              </w:rPr>
              <w:t>Ida</w:t>
            </w:r>
            <w:r w:rsidR="00313E61">
              <w:rPr>
                <w:sz w:val="22"/>
                <w:szCs w:val="22"/>
                <w:lang w:eastAsia="ko-KR"/>
              </w:rPr>
              <w:t xml:space="preserve"> </w:t>
            </w:r>
            <w:r>
              <w:rPr>
                <w:sz w:val="22"/>
                <w:szCs w:val="22"/>
                <w:lang w:eastAsia="ko-KR"/>
              </w:rPr>
              <w:t>T</w:t>
            </w:r>
            <w:r w:rsidR="00D70290" w:rsidRPr="00D70290">
              <w:rPr>
                <w:sz w:val="22"/>
                <w:szCs w:val="22"/>
              </w:rPr>
              <w:t xml:space="preserve">., </w:t>
            </w:r>
            <w:proofErr w:type="spellStart"/>
            <w:r>
              <w:rPr>
                <w:sz w:val="22"/>
                <w:szCs w:val="22"/>
              </w:rPr>
              <w:t>Goto</w:t>
            </w:r>
            <w:proofErr w:type="spellEnd"/>
            <w:r w:rsidR="00313E61">
              <w:rPr>
                <w:sz w:val="22"/>
                <w:szCs w:val="22"/>
              </w:rPr>
              <w:t xml:space="preserve"> </w:t>
            </w:r>
            <w:r>
              <w:rPr>
                <w:sz w:val="22"/>
                <w:szCs w:val="22"/>
              </w:rPr>
              <w:t>T.</w:t>
            </w:r>
            <w:r w:rsidR="00D70290" w:rsidRPr="00D70290">
              <w:rPr>
                <w:sz w:val="22"/>
                <w:szCs w:val="22"/>
              </w:rPr>
              <w:t xml:space="preserve"> and </w:t>
            </w:r>
            <w:r>
              <w:rPr>
                <w:sz w:val="22"/>
                <w:szCs w:val="22"/>
              </w:rPr>
              <w:t>Hibino</w:t>
            </w:r>
            <w:r w:rsidR="00D70290" w:rsidRPr="00D70290">
              <w:rPr>
                <w:sz w:val="22"/>
                <w:szCs w:val="22"/>
              </w:rPr>
              <w:t xml:space="preserve"> </w:t>
            </w:r>
            <w:r>
              <w:rPr>
                <w:sz w:val="22"/>
                <w:szCs w:val="22"/>
              </w:rPr>
              <w:t>S</w:t>
            </w:r>
            <w:r w:rsidR="00D70290" w:rsidRPr="00D70290">
              <w:rPr>
                <w:sz w:val="22"/>
                <w:szCs w:val="22"/>
              </w:rPr>
              <w:t>.</w:t>
            </w:r>
            <w:r w:rsidR="00D70290" w:rsidRPr="00D70290">
              <w:rPr>
                <w:sz w:val="22"/>
                <w:szCs w:val="22"/>
                <w:lang w:eastAsia="ko-KR"/>
              </w:rPr>
              <w:t>, “</w:t>
            </w:r>
            <w:r w:rsidRPr="00D94B33">
              <w:rPr>
                <w:rFonts w:hint="eastAsia"/>
                <w:bCs/>
                <w:sz w:val="22"/>
              </w:rPr>
              <w:t xml:space="preserve">Evaluation of particle statistics in powder </w:t>
            </w:r>
            <w:proofErr w:type="spellStart"/>
            <w:r w:rsidRPr="00D94B33">
              <w:rPr>
                <w:rFonts w:hint="eastAsia"/>
                <w:bCs/>
                <w:sz w:val="22"/>
              </w:rPr>
              <w:t>diffractometry</w:t>
            </w:r>
            <w:proofErr w:type="spellEnd"/>
            <w:r w:rsidRPr="00D94B33">
              <w:rPr>
                <w:rFonts w:hint="eastAsia"/>
                <w:bCs/>
                <w:sz w:val="22"/>
              </w:rPr>
              <w:t xml:space="preserve"> by a spinner-scan method</w:t>
            </w:r>
            <w:r w:rsidR="00D70290" w:rsidRPr="00D70290">
              <w:rPr>
                <w:i/>
                <w:iCs/>
                <w:sz w:val="22"/>
                <w:szCs w:val="22"/>
                <w:lang w:eastAsia="ko-KR"/>
              </w:rPr>
              <w:t>”,</w:t>
            </w:r>
            <w:r w:rsidR="00D70290" w:rsidRPr="00D70290">
              <w:rPr>
                <w:sz w:val="22"/>
                <w:szCs w:val="22"/>
              </w:rPr>
              <w:t xml:space="preserve"> </w:t>
            </w:r>
            <w:r w:rsidRPr="00C83A8A">
              <w:rPr>
                <w:i/>
                <w:sz w:val="22"/>
                <w:szCs w:val="22"/>
              </w:rPr>
              <w:t xml:space="preserve">J. Appl. </w:t>
            </w:r>
            <w:proofErr w:type="spellStart"/>
            <w:r w:rsidRPr="00C83A8A">
              <w:rPr>
                <w:i/>
                <w:sz w:val="22"/>
                <w:szCs w:val="22"/>
              </w:rPr>
              <w:t>Cryst</w:t>
            </w:r>
            <w:proofErr w:type="spellEnd"/>
            <w:r w:rsidRPr="00C83A8A">
              <w:rPr>
                <w:i/>
                <w:sz w:val="22"/>
                <w:szCs w:val="22"/>
              </w:rPr>
              <w:t>.</w:t>
            </w:r>
            <w:r w:rsidR="00D70290" w:rsidRPr="00D70290">
              <w:rPr>
                <w:sz w:val="22"/>
                <w:szCs w:val="22"/>
              </w:rPr>
              <w:t xml:space="preserve">, </w:t>
            </w:r>
            <w:r>
              <w:rPr>
                <w:sz w:val="22"/>
                <w:szCs w:val="22"/>
              </w:rPr>
              <w:t xml:space="preserve">Vol. 42, </w:t>
            </w:r>
            <w:r w:rsidR="00D70290" w:rsidRPr="00D70290">
              <w:rPr>
                <w:sz w:val="22"/>
                <w:szCs w:val="22"/>
                <w:lang w:eastAsia="ko-KR"/>
              </w:rPr>
              <w:t>(</w:t>
            </w:r>
            <w:r w:rsidR="00D70290" w:rsidRPr="00D70290">
              <w:rPr>
                <w:sz w:val="22"/>
                <w:szCs w:val="22"/>
              </w:rPr>
              <w:t>200</w:t>
            </w:r>
            <w:r>
              <w:rPr>
                <w:sz w:val="22"/>
                <w:szCs w:val="22"/>
              </w:rPr>
              <w:t>9</w:t>
            </w:r>
            <w:r w:rsidR="00D70290" w:rsidRPr="00D70290">
              <w:rPr>
                <w:sz w:val="22"/>
                <w:szCs w:val="22"/>
                <w:lang w:eastAsia="ko-KR"/>
              </w:rPr>
              <w:t>)</w:t>
            </w:r>
            <w:r>
              <w:rPr>
                <w:sz w:val="22"/>
                <w:szCs w:val="22"/>
                <w:lang w:eastAsia="ko-KR"/>
              </w:rPr>
              <w:t>, pp 597-606</w:t>
            </w:r>
            <w:r w:rsidR="00D70290" w:rsidRPr="00D70290">
              <w:rPr>
                <w:sz w:val="22"/>
                <w:szCs w:val="22"/>
              </w:rPr>
              <w:t xml:space="preserve">. </w:t>
            </w:r>
          </w:p>
          <w:p w14:paraId="180A61B4" w14:textId="77777777" w:rsidR="00D70290" w:rsidRPr="00177439" w:rsidRDefault="00C83A8A" w:rsidP="00B03195">
            <w:pPr>
              <w:pStyle w:val="references"/>
              <w:ind w:right="-54"/>
              <w:rPr>
                <w:rFonts w:eastAsia="Malgun Gothic"/>
                <w:kern w:val="2"/>
                <w:lang w:eastAsia="ko-KR"/>
              </w:rPr>
            </w:pPr>
            <w:r w:rsidRPr="00B03195">
              <w:rPr>
                <w:sz w:val="22"/>
                <w:szCs w:val="22"/>
                <w:lang w:eastAsia="ko-KR"/>
              </w:rPr>
              <w:t>Ida T</w:t>
            </w:r>
            <w:r w:rsidR="00313E61" w:rsidRPr="00B03195">
              <w:rPr>
                <w:sz w:val="22"/>
                <w:szCs w:val="22"/>
              </w:rPr>
              <w:t>.</w:t>
            </w:r>
            <w:r w:rsidR="00313E61" w:rsidRPr="00B03195">
              <w:rPr>
                <w:sz w:val="22"/>
                <w:szCs w:val="22"/>
                <w:lang w:eastAsia="ko-KR"/>
              </w:rPr>
              <w:t>,</w:t>
            </w:r>
            <w:r w:rsidR="00D70290" w:rsidRPr="00B03195">
              <w:rPr>
                <w:sz w:val="22"/>
                <w:szCs w:val="22"/>
                <w:lang w:eastAsia="ko-KR"/>
              </w:rPr>
              <w:t xml:space="preserve"> “</w:t>
            </w:r>
            <w:r w:rsidRPr="00B03195">
              <w:rPr>
                <w:sz w:val="22"/>
              </w:rPr>
              <w:t xml:space="preserve">Particle statistics of a capillary specimen in synchrotron powder </w:t>
            </w:r>
            <w:proofErr w:type="spellStart"/>
            <w:r w:rsidRPr="00B03195">
              <w:rPr>
                <w:sz w:val="22"/>
              </w:rPr>
              <w:t>diffractometry</w:t>
            </w:r>
            <w:proofErr w:type="spellEnd"/>
            <w:r w:rsidR="00D70290" w:rsidRPr="00B03195">
              <w:rPr>
                <w:sz w:val="22"/>
                <w:szCs w:val="22"/>
                <w:lang w:eastAsia="ko-KR"/>
              </w:rPr>
              <w:t>”,</w:t>
            </w:r>
            <w:r w:rsidR="00D70290" w:rsidRPr="00B03195">
              <w:rPr>
                <w:sz w:val="22"/>
                <w:szCs w:val="22"/>
              </w:rPr>
              <w:t xml:space="preserve"> </w:t>
            </w:r>
            <w:r w:rsidRPr="00B03195">
              <w:rPr>
                <w:i/>
                <w:iCs/>
                <w:sz w:val="22"/>
                <w:szCs w:val="22"/>
              </w:rPr>
              <w:t xml:space="preserve">J. Appl. </w:t>
            </w:r>
            <w:proofErr w:type="spellStart"/>
            <w:r w:rsidRPr="00B03195">
              <w:rPr>
                <w:i/>
                <w:iCs/>
                <w:sz w:val="22"/>
                <w:szCs w:val="22"/>
              </w:rPr>
              <w:t>Cryst</w:t>
            </w:r>
            <w:proofErr w:type="spellEnd"/>
            <w:r w:rsidRPr="00B03195">
              <w:rPr>
                <w:i/>
                <w:iCs/>
                <w:sz w:val="22"/>
                <w:szCs w:val="22"/>
              </w:rPr>
              <w:t>.</w:t>
            </w:r>
            <w:r w:rsidR="00D70290" w:rsidRPr="00B03195">
              <w:rPr>
                <w:sz w:val="22"/>
                <w:szCs w:val="22"/>
              </w:rPr>
              <w:t xml:space="preserve">, </w:t>
            </w:r>
            <w:r w:rsidRPr="00B03195">
              <w:rPr>
                <w:sz w:val="22"/>
                <w:szCs w:val="22"/>
              </w:rPr>
              <w:t>Vol. 44, (2011), pp</w:t>
            </w:r>
            <w:r w:rsidR="001B0901" w:rsidRPr="00B03195">
              <w:rPr>
                <w:sz w:val="22"/>
                <w:szCs w:val="22"/>
              </w:rPr>
              <w:t xml:space="preserve"> 911-920.</w:t>
            </w:r>
            <w:r w:rsidR="00D70290" w:rsidRPr="00B03195">
              <w:rPr>
                <w:sz w:val="22"/>
                <w:szCs w:val="22"/>
              </w:rPr>
              <w:t xml:space="preserve">  </w:t>
            </w:r>
          </w:p>
        </w:tc>
      </w:tr>
    </w:tbl>
    <w:p w14:paraId="442AC399" w14:textId="77777777" w:rsidR="00D70290" w:rsidRPr="00D70290" w:rsidRDefault="00D70290" w:rsidP="00B03195">
      <w:pPr>
        <w:ind w:right="-54"/>
        <w:jc w:val="left"/>
        <w:rPr>
          <w:rFonts w:ascii="Times New Roman" w:hAnsi="Times New Roman"/>
          <w:b/>
        </w:rPr>
      </w:pPr>
    </w:p>
    <w:sectPr w:rsidR="00D70290" w:rsidRPr="00D70290" w:rsidSect="00D7029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284" w:footer="284" w:gutter="0"/>
      <w:cols w:space="42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7343F" w14:textId="77777777" w:rsidR="00144B63" w:rsidRDefault="00144B63" w:rsidP="00D70290">
      <w:pPr>
        <w:ind w:right="-54"/>
      </w:pPr>
      <w:r>
        <w:separator/>
      </w:r>
    </w:p>
  </w:endnote>
  <w:endnote w:type="continuationSeparator" w:id="0">
    <w:p w14:paraId="47A33BAD" w14:textId="77777777" w:rsidR="00144B63" w:rsidRDefault="00144B63" w:rsidP="00D70290">
      <w:pPr>
        <w:ind w:right="-5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Arial Narrow">
    <w:panose1 w:val="020B0606020202030204"/>
    <w:charset w:val="00"/>
    <w:family w:val="auto"/>
    <w:pitch w:val="variable"/>
    <w:sig w:usb0="00000287" w:usb1="00000800" w:usb2="00000000" w:usb3="00000000" w:csb0="0000009F" w:csb1="00000000"/>
  </w:font>
  <w:font w:name="SimSun">
    <w:panose1 w:val="02010600030101010101"/>
    <w:charset w:val="86"/>
    <w:family w:val="auto"/>
    <w:pitch w:val="variable"/>
    <w:sig w:usb0="00000003" w:usb1="288F0000" w:usb2="00000016" w:usb3="00000000" w:csb0="00040001"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A6FF" w14:textId="77777777" w:rsidR="00DC6104" w:rsidRDefault="00DC6104" w:rsidP="00BF108E">
    <w:pPr>
      <w:pStyle w:val="ab"/>
      <w:ind w:right="-5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3F248" w14:textId="77777777" w:rsidR="00DC6104" w:rsidRDefault="00DC6104" w:rsidP="00BF108E">
    <w:pPr>
      <w:pStyle w:val="ab"/>
      <w:ind w:right="-54"/>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D21ED" w14:textId="77777777" w:rsidR="00DC6104" w:rsidRDefault="00DC6104" w:rsidP="00BF108E">
    <w:pPr>
      <w:pStyle w:val="ab"/>
      <w:ind w:right="-5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0E894" w14:textId="77777777" w:rsidR="00144B63" w:rsidRDefault="00144B63" w:rsidP="00D70290">
      <w:pPr>
        <w:ind w:right="-54"/>
      </w:pPr>
      <w:r>
        <w:separator/>
      </w:r>
    </w:p>
  </w:footnote>
  <w:footnote w:type="continuationSeparator" w:id="0">
    <w:p w14:paraId="2ED80784" w14:textId="77777777" w:rsidR="00144B63" w:rsidRDefault="00144B63" w:rsidP="00D70290">
      <w:pPr>
        <w:ind w:right="-54"/>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C3A46" w14:textId="77777777" w:rsidR="00DC6104" w:rsidRDefault="00DC6104" w:rsidP="00BF108E">
    <w:pPr>
      <w:pStyle w:val="a9"/>
      <w:ind w:right="-5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92632" w14:textId="77777777" w:rsidR="00DC6104" w:rsidRDefault="00DC6104" w:rsidP="00BF108E">
    <w:pPr>
      <w:pStyle w:val="a9"/>
      <w:ind w:right="-54"/>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3998E" w14:textId="77777777" w:rsidR="00DC6104" w:rsidRDefault="00DC6104" w:rsidP="00BF108E">
    <w:pPr>
      <w:pStyle w:val="a9"/>
      <w:ind w:right="-5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48E8B7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F3F68A6"/>
    <w:multiLevelType w:val="hybridMultilevel"/>
    <w:tmpl w:val="1206CBD8"/>
    <w:lvl w:ilvl="0" w:tplc="C9D80C02">
      <w:start w:val="1"/>
      <w:numFmt w:val="decimal"/>
      <w:lvlText w:val="%1."/>
      <w:lvlJc w:val="left"/>
      <w:pPr>
        <w:ind w:left="800" w:hanging="400"/>
      </w:pPr>
      <w:rPr>
        <w:b w:val="0"/>
        <w:sz w:val="22"/>
        <w:szCs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49133264"/>
    <w:multiLevelType w:val="singleLevel"/>
    <w:tmpl w:val="216EDDC0"/>
    <w:lvl w:ilvl="0">
      <w:start w:val="1"/>
      <w:numFmt w:val="decimal"/>
      <w:pStyle w:val="references"/>
      <w:lvlText w:val="[%1]"/>
      <w:legacy w:legacy="1" w:legacySpace="0" w:legacyIndent="360"/>
      <w:lvlJc w:val="left"/>
      <w:pPr>
        <w:ind w:left="360" w:hanging="360"/>
      </w:pPr>
      <w:rPr>
        <w:rFonts w:ascii="Times New Roman" w:hAnsi="Times New Roman" w:hint="default"/>
        <w:b w:val="0"/>
        <w:i w:val="0"/>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90"/>
    <w:rsid w:val="00027E0D"/>
    <w:rsid w:val="0006183F"/>
    <w:rsid w:val="000B5FC6"/>
    <w:rsid w:val="000E3E9C"/>
    <w:rsid w:val="0010214A"/>
    <w:rsid w:val="00132E0A"/>
    <w:rsid w:val="00144B63"/>
    <w:rsid w:val="0015139D"/>
    <w:rsid w:val="00177439"/>
    <w:rsid w:val="001A3519"/>
    <w:rsid w:val="001B0901"/>
    <w:rsid w:val="001B1B0A"/>
    <w:rsid w:val="001D3AFB"/>
    <w:rsid w:val="001F6140"/>
    <w:rsid w:val="0028739C"/>
    <w:rsid w:val="002D4494"/>
    <w:rsid w:val="002F6D4A"/>
    <w:rsid w:val="003051E7"/>
    <w:rsid w:val="00305AFA"/>
    <w:rsid w:val="00313E61"/>
    <w:rsid w:val="00330647"/>
    <w:rsid w:val="003308AE"/>
    <w:rsid w:val="0033293C"/>
    <w:rsid w:val="00340050"/>
    <w:rsid w:val="00342179"/>
    <w:rsid w:val="003452E5"/>
    <w:rsid w:val="003B7F63"/>
    <w:rsid w:val="003D1E6A"/>
    <w:rsid w:val="0043364D"/>
    <w:rsid w:val="00483FD7"/>
    <w:rsid w:val="004863C7"/>
    <w:rsid w:val="00490048"/>
    <w:rsid w:val="00491A2F"/>
    <w:rsid w:val="004A3CEA"/>
    <w:rsid w:val="004C1040"/>
    <w:rsid w:val="004E5BF3"/>
    <w:rsid w:val="004E5C2B"/>
    <w:rsid w:val="004F37F1"/>
    <w:rsid w:val="004F5B73"/>
    <w:rsid w:val="005005EC"/>
    <w:rsid w:val="005758F3"/>
    <w:rsid w:val="005770C9"/>
    <w:rsid w:val="005A5025"/>
    <w:rsid w:val="005B6D4D"/>
    <w:rsid w:val="005C44C8"/>
    <w:rsid w:val="00600C3B"/>
    <w:rsid w:val="006060BA"/>
    <w:rsid w:val="00621B35"/>
    <w:rsid w:val="00642885"/>
    <w:rsid w:val="00644370"/>
    <w:rsid w:val="006B3102"/>
    <w:rsid w:val="006C2707"/>
    <w:rsid w:val="006D4D0E"/>
    <w:rsid w:val="006D7E4B"/>
    <w:rsid w:val="007528CD"/>
    <w:rsid w:val="007575A8"/>
    <w:rsid w:val="00766487"/>
    <w:rsid w:val="007B17FF"/>
    <w:rsid w:val="007D4554"/>
    <w:rsid w:val="007F2809"/>
    <w:rsid w:val="008243D6"/>
    <w:rsid w:val="00883CC7"/>
    <w:rsid w:val="008A3632"/>
    <w:rsid w:val="008C33FD"/>
    <w:rsid w:val="008C5210"/>
    <w:rsid w:val="00922693"/>
    <w:rsid w:val="009A227A"/>
    <w:rsid w:val="009A6108"/>
    <w:rsid w:val="009C4C6A"/>
    <w:rsid w:val="009D5268"/>
    <w:rsid w:val="00A05FF7"/>
    <w:rsid w:val="00A20AE4"/>
    <w:rsid w:val="00A35109"/>
    <w:rsid w:val="00A6017B"/>
    <w:rsid w:val="00A64C02"/>
    <w:rsid w:val="00A906E9"/>
    <w:rsid w:val="00A91B9F"/>
    <w:rsid w:val="00AA1CAA"/>
    <w:rsid w:val="00AC5E22"/>
    <w:rsid w:val="00AC6D09"/>
    <w:rsid w:val="00AC71D9"/>
    <w:rsid w:val="00AE5944"/>
    <w:rsid w:val="00B03195"/>
    <w:rsid w:val="00B81E8B"/>
    <w:rsid w:val="00B82126"/>
    <w:rsid w:val="00BF108E"/>
    <w:rsid w:val="00BF274F"/>
    <w:rsid w:val="00C163A6"/>
    <w:rsid w:val="00C22315"/>
    <w:rsid w:val="00C67678"/>
    <w:rsid w:val="00C83A8A"/>
    <w:rsid w:val="00CA64AF"/>
    <w:rsid w:val="00CD05FF"/>
    <w:rsid w:val="00CE4900"/>
    <w:rsid w:val="00D24567"/>
    <w:rsid w:val="00D372DF"/>
    <w:rsid w:val="00D54C9D"/>
    <w:rsid w:val="00D70290"/>
    <w:rsid w:val="00D85813"/>
    <w:rsid w:val="00DC6104"/>
    <w:rsid w:val="00DE04F5"/>
    <w:rsid w:val="00DE3C38"/>
    <w:rsid w:val="00E07E1A"/>
    <w:rsid w:val="00E2092F"/>
    <w:rsid w:val="00E46A77"/>
    <w:rsid w:val="00E544F9"/>
    <w:rsid w:val="00E620C5"/>
    <w:rsid w:val="00E87737"/>
    <w:rsid w:val="00EC6AD7"/>
    <w:rsid w:val="00EF053D"/>
    <w:rsid w:val="00EF7783"/>
    <w:rsid w:val="00F1352B"/>
    <w:rsid w:val="00F5202C"/>
    <w:rsid w:val="00F56C91"/>
    <w:rsid w:val="00F62E6D"/>
    <w:rsid w:val="00F87C5E"/>
    <w:rsid w:val="00FA3EAE"/>
    <w:rsid w:val="00FA4FC1"/>
    <w:rsid w:val="00FF4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9140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1E7"/>
    <w:pPr>
      <w:widowControl w:val="0"/>
      <w:wordWrap w:val="0"/>
      <w:autoSpaceDE w:val="0"/>
      <w:autoSpaceDN w:val="0"/>
      <w:ind w:rightChars="-27" w:right="-27"/>
      <w:jc w:val="both"/>
    </w:pPr>
    <w:rPr>
      <w:kern w:val="2"/>
      <w:szCs w:val="22"/>
      <w:lang w:eastAsia="ko-KR"/>
    </w:rPr>
  </w:style>
  <w:style w:type="paragraph" w:styleId="7">
    <w:name w:val="heading 7"/>
    <w:basedOn w:val="a"/>
    <w:next w:val="a"/>
    <w:link w:val="70"/>
    <w:qFormat/>
    <w:rsid w:val="00D70290"/>
    <w:pPr>
      <w:keepNext/>
      <w:wordWrap/>
      <w:autoSpaceDE/>
      <w:autoSpaceDN/>
      <w:spacing w:line="240" w:lineRule="exact"/>
      <w:ind w:rightChars="0" w:right="0"/>
      <w:outlineLvl w:val="6"/>
    </w:pPr>
    <w:rPr>
      <w:rFonts w:ascii="Arial Narrow" w:eastAsia="SimSun" w:hAnsi="Arial Narrow"/>
      <w:b/>
      <w:bCs/>
      <w:kern w:val="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見出し 7 (文字)"/>
    <w:link w:val="7"/>
    <w:rsid w:val="00D70290"/>
    <w:rPr>
      <w:rFonts w:ascii="Arial Narrow" w:eastAsia="SimSun" w:hAnsi="Arial Narrow" w:cs="Times New Roman"/>
      <w:b/>
      <w:bCs/>
      <w:szCs w:val="20"/>
      <w:lang w:eastAsia="zh-CN"/>
    </w:rPr>
  </w:style>
  <w:style w:type="paragraph" w:styleId="a3">
    <w:name w:val="Title"/>
    <w:basedOn w:val="a"/>
    <w:link w:val="a4"/>
    <w:qFormat/>
    <w:rsid w:val="00D70290"/>
    <w:pPr>
      <w:wordWrap/>
      <w:autoSpaceDE/>
      <w:autoSpaceDN/>
      <w:ind w:rightChars="0" w:right="0"/>
      <w:jc w:val="center"/>
    </w:pPr>
    <w:rPr>
      <w:rFonts w:ascii="Times New Roman" w:eastAsia="SimSun" w:hAnsi="Times New Roman"/>
      <w:b/>
      <w:bCs/>
      <w:kern w:val="0"/>
      <w:sz w:val="28"/>
      <w:szCs w:val="28"/>
      <w:lang w:val="x-none" w:eastAsia="zh-CN"/>
    </w:rPr>
  </w:style>
  <w:style w:type="character" w:customStyle="1" w:styleId="a4">
    <w:name w:val="表題 (文字)"/>
    <w:link w:val="a3"/>
    <w:rsid w:val="00D70290"/>
    <w:rPr>
      <w:rFonts w:ascii="Times New Roman" w:eastAsia="SimSun" w:hAnsi="Times New Roman" w:cs="Times New Roman"/>
      <w:b/>
      <w:bCs/>
      <w:sz w:val="28"/>
      <w:szCs w:val="28"/>
      <w:lang w:eastAsia="zh-CN"/>
    </w:rPr>
  </w:style>
  <w:style w:type="paragraph" w:styleId="a5">
    <w:name w:val="Body Text Indent"/>
    <w:basedOn w:val="a"/>
    <w:link w:val="a6"/>
    <w:rsid w:val="00D70290"/>
    <w:pPr>
      <w:wordWrap/>
      <w:autoSpaceDE/>
      <w:autoSpaceDN/>
      <w:spacing w:beforeLines="100" w:line="240" w:lineRule="exact"/>
      <w:ind w:rightChars="0" w:right="204"/>
    </w:pPr>
    <w:rPr>
      <w:rFonts w:ascii="Times New Roman" w:eastAsia="SimSun" w:hAnsi="Times New Roman"/>
      <w:color w:val="000000"/>
      <w:kern w:val="0"/>
      <w:sz w:val="24"/>
      <w:szCs w:val="24"/>
      <w:lang w:val="x-none" w:eastAsia="zh-CN"/>
    </w:rPr>
  </w:style>
  <w:style w:type="character" w:customStyle="1" w:styleId="a6">
    <w:name w:val="本文インデント (文字)"/>
    <w:link w:val="a5"/>
    <w:rsid w:val="00D70290"/>
    <w:rPr>
      <w:rFonts w:ascii="Times New Roman" w:eastAsia="SimSun" w:hAnsi="Times New Roman" w:cs="Times New Roman"/>
      <w:color w:val="000000"/>
      <w:sz w:val="24"/>
      <w:szCs w:val="24"/>
      <w:lang w:eastAsia="zh-CN"/>
    </w:rPr>
  </w:style>
  <w:style w:type="paragraph" w:styleId="a7">
    <w:name w:val="Body Text"/>
    <w:basedOn w:val="a"/>
    <w:link w:val="a8"/>
    <w:rsid w:val="00D70290"/>
    <w:pPr>
      <w:wordWrap/>
      <w:autoSpaceDE/>
      <w:autoSpaceDN/>
      <w:adjustRightInd w:val="0"/>
      <w:snapToGrid w:val="0"/>
      <w:spacing w:before="120" w:line="320" w:lineRule="exact"/>
      <w:ind w:rightChars="0" w:right="0"/>
      <w:jc w:val="center"/>
    </w:pPr>
    <w:rPr>
      <w:rFonts w:ascii="Times New Roman" w:eastAsia="SimSun" w:hAnsi="Times New Roman"/>
      <w:strike/>
      <w:color w:val="000000"/>
      <w:kern w:val="0"/>
      <w:sz w:val="22"/>
      <w:szCs w:val="20"/>
      <w:lang w:val="x-none" w:eastAsia="zh-CN"/>
    </w:rPr>
  </w:style>
  <w:style w:type="character" w:customStyle="1" w:styleId="a8">
    <w:name w:val="本文 (文字)"/>
    <w:link w:val="a7"/>
    <w:rsid w:val="00D70290"/>
    <w:rPr>
      <w:rFonts w:ascii="Times New Roman" w:eastAsia="SimSun" w:hAnsi="Times New Roman" w:cs="Times New Roman"/>
      <w:strike/>
      <w:color w:val="000000"/>
      <w:sz w:val="22"/>
      <w:lang w:eastAsia="zh-CN"/>
    </w:rPr>
  </w:style>
  <w:style w:type="paragraph" w:customStyle="1" w:styleId="references">
    <w:name w:val="references"/>
    <w:basedOn w:val="a"/>
    <w:rsid w:val="00D70290"/>
    <w:pPr>
      <w:widowControl/>
      <w:numPr>
        <w:numId w:val="2"/>
      </w:numPr>
      <w:wordWrap/>
      <w:autoSpaceDE/>
      <w:autoSpaceDN/>
      <w:spacing w:before="20" w:after="20"/>
      <w:ind w:left="357" w:rightChars="0" w:right="0" w:hanging="357"/>
      <w:jc w:val="left"/>
    </w:pPr>
    <w:rPr>
      <w:rFonts w:ascii="Times New Roman" w:eastAsia="Batang" w:hAnsi="Times New Roman"/>
      <w:kern w:val="0"/>
      <w:sz w:val="18"/>
      <w:szCs w:val="20"/>
      <w:lang w:eastAsia="en-US"/>
    </w:rPr>
  </w:style>
  <w:style w:type="paragraph" w:styleId="a9">
    <w:name w:val="header"/>
    <w:basedOn w:val="a"/>
    <w:link w:val="aa"/>
    <w:uiPriority w:val="99"/>
    <w:semiHidden/>
    <w:unhideWhenUsed/>
    <w:rsid w:val="00BF108E"/>
    <w:pPr>
      <w:tabs>
        <w:tab w:val="center" w:pos="4513"/>
        <w:tab w:val="right" w:pos="9026"/>
      </w:tabs>
      <w:snapToGrid w:val="0"/>
    </w:pPr>
  </w:style>
  <w:style w:type="character" w:customStyle="1" w:styleId="aa">
    <w:name w:val="ヘッダー (文字)"/>
    <w:basedOn w:val="a0"/>
    <w:link w:val="a9"/>
    <w:uiPriority w:val="99"/>
    <w:semiHidden/>
    <w:rsid w:val="00BF108E"/>
  </w:style>
  <w:style w:type="paragraph" w:styleId="ab">
    <w:name w:val="footer"/>
    <w:basedOn w:val="a"/>
    <w:link w:val="ac"/>
    <w:uiPriority w:val="99"/>
    <w:semiHidden/>
    <w:unhideWhenUsed/>
    <w:rsid w:val="00BF108E"/>
    <w:pPr>
      <w:tabs>
        <w:tab w:val="center" w:pos="4513"/>
        <w:tab w:val="right" w:pos="9026"/>
      </w:tabs>
      <w:snapToGrid w:val="0"/>
    </w:pPr>
  </w:style>
  <w:style w:type="character" w:customStyle="1" w:styleId="ac">
    <w:name w:val="フッター (文字)"/>
    <w:basedOn w:val="a0"/>
    <w:link w:val="ab"/>
    <w:uiPriority w:val="99"/>
    <w:semiHidden/>
    <w:rsid w:val="00B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2950</Characters>
  <Application>Microsoft Macintosh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Hye Jin</dc:creator>
  <cp:keywords/>
  <cp:lastModifiedBy>井田　隆</cp:lastModifiedBy>
  <cp:revision>2</cp:revision>
  <cp:lastPrinted>2015-10-28T09:54:00Z</cp:lastPrinted>
  <dcterms:created xsi:type="dcterms:W3CDTF">2015-12-16T04:28:00Z</dcterms:created>
  <dcterms:modified xsi:type="dcterms:W3CDTF">2015-12-16T04:28:00Z</dcterms:modified>
</cp:coreProperties>
</file>